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Aroha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Aroha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2016</w:t>
      </w:r>
      <w:bookmarkEnd w:id="7"/>
      <w:r w:rsidRPr="009418D4">
        <w:rPr>
          <w:rFonts w:cs="Arial"/>
        </w:rPr>
        <w:tab/>
        <w:t xml:space="preserve">End date: </w:t>
      </w:r>
      <w:bookmarkStart w:id="8" w:name="AuditEndDate"/>
      <w:r w:rsidR="00A4268A">
        <w:rPr>
          <w:rFonts w:cs="Arial"/>
        </w:rPr>
        <w:t>14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Aroha provides residential care for up to 46 residents who require rest home, rest home dementia, and hospital level care. The facility is operated by the Ultimate Care Group Limited. On the first day of audit there were 42 beds occupied.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has been significant progress since the last audit and improvement overall is noted.</w:t>
      </w:r>
    </w:p>
    <w:p w:rsidRPr="00A4268A">
      <w:pPr>
        <w:spacing w:before="240" w:line="276" w:lineRule="auto"/>
        <w:rPr>
          <w:rFonts w:eastAsia="Calibri"/>
        </w:rPr>
      </w:pPr>
      <w:r w:rsidRPr="00A4268A">
        <w:rPr>
          <w:rFonts w:eastAsia="Calibri"/>
        </w:rPr>
        <w:t>There are five areas requiring improvement from this audit relating to the management of complaints; on-going education for non-clinical staff; time allocated for planned activities and lack of outings in the community; the availability of snacks to residents in the dementia unit over the 24-hour period, and the large water filled pot holes in the drive that runs parallel to the facility.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Care is guided by a comprehensive Māori health plan and related policies. There is no evidence of abuse, neglect or discrimination and staff understand and implement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strong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 are fully implemented at Ultimate Care Aroha and include a documented scope, direction, goals, values, and a mission statement. Systems are in place for monitoring the service, including regular reporting by the facility manager and clinical services manager to head office.</w:t>
      </w:r>
    </w:p>
    <w:p w:rsidRPr="00A4268A">
      <w:pPr>
        <w:spacing w:before="240" w:line="276" w:lineRule="auto"/>
        <w:rPr>
          <w:rFonts w:eastAsia="Calibri"/>
        </w:rPr>
      </w:pPr>
      <w:r w:rsidRPr="00A4268A">
        <w:rPr>
          <w:rFonts w:eastAsia="Calibri"/>
        </w:rPr>
        <w:t xml:space="preserve">The facility is managed by a facility manager who is a registered nurse. A clinical services manager/registered nurse supports the facility manager and is responsible for oversight of the clinical services. </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quality meeting minutes evidenced corrective action plans are developed, implemented, monitored and signed off as being completed to address the issue/s that require improvement.  Quality, staff, registered nurses and resident’s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Human resource processes are followed. There are policies and procedures on human resources management.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The documented rationale for determining staffing levels and skill mixes is based on best practice.  Registered nurses are on duty 24 hours each day in the facility and are supported by care and allied health staff and a designated general practitioner.  On call arrangements for support from senior staff are in place.</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and hard copy)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Apart from one double bedroom, all bedrooms provide single accommodation. Adequate numbers of bathrooms and toilets are available. There are lounges, dining areas and alcoves. External areas for sitting and shading are provided. There is a secure external area provided for residents who reside in the dementia unit.  </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Cleaning and laundry systems, undertaken on site, are effective.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 and an enabler during the audit. Appropriate documentation, including a current restraint register, is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can be accessed from an external advisor, the District Health Board and the public health service.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7"/>
        <w:gridCol w:w="1280"/>
        <w:gridCol w:w="91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Aroha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collection and sharing of information and residents names on doors.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record. Staff demonstrated their understanding by being able to explain situations when this may occur. All residents in the secure unit had an enacted EPOA.</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and outside the hospital lounge.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nine complaints have been received since the previous audit. Not all documentation was complete for all the complaints. Right 10 of the Code had not been followed relating to one complaint in that a written response to the complaint had not been sent to the complainant.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and follow up of complaints. Staff interviewed confirmed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reported there have been no investigations by the Health and Disability Commissioner, the Ministry of Health,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discussion with staff and by attendance of an Advocacy Service representative at resident and family meetings. The Code is displayed in all three areas of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(eg, when attending to personal cares, ensuring resident information is held securely and privately and exchanging verbal information). All residents have a private room. A whanau room is available for larger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offered choices during everyday interactions.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staff interviews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four residents in the service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The Māori resident and family interviewed reported that staff acknowledge and respected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(eg, religious beliefs, nutritional and spiritual practices).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clinical leadership based on evidence based policies, input from external specialist services and allied health professionals. For example, hospice/palliative care team, the diabetes nurse specialist, wound care specialist, dietitians, services for older people, seating specialists,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web based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Evidence of good practice was sighted in the comprehensiveness of documentation in care planning and management plan of a resident with a multi-resistant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when required. Staff knew how to do so, although reported this was rarely required due to all present residents ability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at Ultimate Care Aroha.  A quality and risk management plan that includes a business plan was reviewed and includes a mission and vision statement, core values, quality objectives, quality indicators and quality projects and scope of service. An organisational flowchart shows the structure and reporting lines within the organisation. The service philosophy is in an understandable form and was available to residents and their family / representative or other services involved in referring clients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has established systems in place which defined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manager’s reports to UCG head office includes, but is not limited to, reporting on occupancy, staffing and human resources management, environmental and property reports, financial reporting, interRAI assessments, and general comments.  Daily reporting to UCG head office is via an electronic database which is also used by the clinical services manager (CSM) to input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has been in the position since April 2016.  The facility manager is a registered nurse (RN) and has managed another aged care facility prior to the current appointment. They have also held management positions in the wider health sector. The facility manager is supported by an experienced clinical services manager who is a registered nurse and was appointed to their current position in January 2016.  The clinical services manager (CSM) has worked in other aged care facilities, including dementia level care as a clinical manager and is responsible for oversight of clinical care at Ultimate Care Aroha. The senior management team from UCG head office also provide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managers' personal files and interview of the managers evidenced they have undertaken education in relevant areas.  The managers reported they have received an orientation to their positions and documentation in the managers’ files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Ultimate Care Aroha is certified to provide hospital, rest home dementia and rest home level care.  On the day of this audit there were 16 hospital level residents,12 rest home level residents and 14 dementia level care residents. The FM advised that five bedrooms in the rest home area have been approved by the Ministry of Health as dual purpose rooms (rest home or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Ultimate Care Aroha has contracts with the DHB for ‘Aged Related Residential Care’, ‘Long Term Chronic Care’, and Respite Care and Day Care’.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services manager deputises. When the CSM is absent, the senior RN takes responsibility for clinical overview. The FM, the CSM and senior RN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included goals and objectives. An internal audit programme is in place and completed internal audits were reviewed. Quality, RN, staff and resident meetings are held monthly. Meeting minutes were reviewed and these were available for review by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was recorded on registers and forms and is entered in to the electronic system daily. Quality data is being analysed and trends identified.  The CSM reported they discuss any trends at the various meetings and a monthly clinical report produced by the CSM evidenced a comprehensive breakdown of quality data including graphs and bench marking with other UCG facilities and another provider of aged care facilities.  Corrective actions are developed and implemented to improve service delivery following completion of internal audits, satisfaction surveys and meetings. Adverse events are documented on accident/incident forms and are retained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policies and procedures are fully implemented at Ultimate Care Aroha.  Policies and procedures were reviewed that are relevant to the scope and complexity of the service, reflected current accepted good practice, and referenced legislative requirements.  The care plan policy includes interRAI requirements. Policies / procedures were available with systems in place for reviewing and updating the policies and procedures regularly, including a policy for document update reviews and document control policy. The clinical advisory panel from UCG is responsible for reviewing policies and procedures.  Staff signing sheets demonstrated staff had been updated on new/reviewed policies, and this was confirmed during interviews of care staff.  Care staff confirmed the policies and procedures provided appropriate guidance for the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including risks associated with human resources management, legislative compliance, contractual risks and clinical risk and showed the actions put in place to minimise or eliminate risks. Newly found hazards are communicated to staff and residents as appropriate. The health and safety coordinator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 clinical services manager reviews these. The original is kept in the residents’ files.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confirmed this.  Policy and procedures comply with essential notification reporting.  The FM advised there have been no essential notifications (Section 31)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CSM. The CSM is responsible for providing on-going education to clinical staff and there was evidence that this has occurred. It is the responsibility of the FM to provide on-going education to non-clinical staff, however staff files, the education spreadsheets and interview of non-clinical staff evidenced not all non-clinical staff have received on-going education.  Individual records of education are maintained electronically as are competency assessments including restraint and medicine management. Staff files evidenced education certificates. Three RNs are interRAI competent and one RN is currently completing the course. Care staff have completed the dementia specific modules, apart from two staff members who are recent employees and they are booked to undertake this education.</w:t>
            </w:r>
          </w:p>
          <w:p w:rsidR="00EB7645" w:rsidRPr="00BE00C7" w:rsidP="00BE00C7">
            <w:pPr>
              <w:pStyle w:val="OutcomeDescription"/>
              <w:spacing w:before="120" w:after="120"/>
              <w:rPr>
                <w:rFonts w:cs="Arial"/>
                <w:b w:val="0"/>
                <w:lang w:eastAsia="en-NZ"/>
              </w:rPr>
            </w:pPr>
            <w:r w:rsidRPr="00BE00C7">
              <w:rPr>
                <w:rFonts w:cs="Arial"/>
                <w:b w:val="0"/>
                <w:lang w:eastAsia="en-NZ"/>
              </w:rPr>
              <w:t>The CSM advised a New Zealand Qualification Authority education programme will be re-introduced in the new year for staff to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An electronic system is used that is based on best practice.  The CSM and senior RN reported they develop and review the rosters for clinical staff and consider dependency levels of residents and the physical environment. The minimum number of staff is provided during the night shift and consists of one RN and two care givers, one in the dementia unit and one in the rest home/hospital area. The FM and CSM are on-call after hours.  Care staff interviewed reported there was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CSM or FM. They are also provided with written information about the service and the admission process. The organisation seeks updated information from the NASC and general practitioner (GP) for residents accessing respite care. All residents in the secure unit had specialist documentation to verify this service was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‘pink envelope’ system to facilitate transfer of residents to and from acute care services. There is open communication between all services, the resident and the family.  At the time of transition between services, appropriate information, including medication records, advanced directives and the care plan is provided for the ongoing management of the resident.  All referrals are documented in the progress notes. Family of a resident recently transferred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CSM and recorded on an accident/incident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chef/cook and kitchen team, and is in line with recognised nutritional guidelines for older people.  The menu follows summer and winter patterns and has been reviewed by a qualified dietitian in August 2016.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do not always have access to food and fluids 24 hours per day, seven days per week to meet their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some residents’ dissatisfaction with meals recently is evidenced by satisfaction surveys, interviews and resident and family meeting minutes. Evidence was sighted of corrective actions implemented around areas of dissatisfaction. Satisfaction with meals at the time of audit was verified by resident and family interviews, and observation.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three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Monday to Friday, from 8.30am-4.00pm by a qualified diversional therapist (DT) holding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however activities are limited by the time allocated for them to take place and the unavailability of a suitable van to provide outings. The activities programme is discussed at residents’ and family meetings and minutes indicate residents’ and family input is sought and responded to. Dissatisfaction with the amount of entertainment provided has been addressed by an increase in the budget. Resident and family satisfaction surveys demonstrated some dissatisfaction with the programme. Residents interviewed confirmed they find the programme enjoyable, however the residents did feel the availability of the diversional therapist was often limited due to her attending to other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 twenty-four-hour care plan identifies activities that can be offered to residents by care staff, when residents are most physically active and/or restless.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three months in conjunction with clinical assessments and the six-monthly interRAI reassessment or as residents’ needs change.  Evaluations are documented by the RN. Where progress is different from expected, the service responds by initiating changes to the plan of care. Examples were sighted of short term care plans being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 Staff interviewed had a good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are appropriate systems in place to ensure the residents’ physical environment and facilities are fit for their purpose. Residents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an adequate standard.  Maintenance is undertaken by a maintenance person who has a good understanding of their responsibilities.  The testing and tagging of electrical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safely maintained and are appropriate to the resident groups and setting.  A secure court yard and gardens are available for residents residing in the dementia unit. The environment is conducive to the range of activities undertaken in the areas.  Residents are protected from risks associated with being outside, apart from the driveway which has large water filled pot holes in it.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bathroom facilities throughout the facility.  Residents and families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for residents and staff to move safely around the bedrooms.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 such as mobility scooters, wheel 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Areas are provided for residents to frequent for activities, dining, relaxing and for privacy.  Residents, families and staff confirmed and observation evidenced these areas are easily accessed. Furniture is appropriate to the setting and arranged in a manner which enables residents to mobilise freely. Murals have been erected on the walls and doors in the dementia unit that depict different scenes. Families interviewed stated the murals have made the dementia unit feel more inviting and is a source of conversation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families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Ultimate Care Aroha is cleaned to an adequate standard.  The cleaner demonstrated good knowledge of cleaning and laundry processes.  Residents and families stated the facility is kept clean.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There is an evacuation policy on emergency and security situations that covers all service groups at the facility.  A fire drill takes place six-monthly.  The orientation programme includes fire and security education.  Staff confirmed their awareness of emergency procedures. All required fire equipment was sighted on the days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 Back up lighting is available should there be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 external doors are locked in the evenings and there are sensor lights for security at night. A security firm is also alerted if there is an attempted break-in.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 pumps and electric heaters provide heating.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the designated infection control coordinator, whose role and responsibilities are defined in a job description. Infection control matters, including surveillance results, are reported monthly to the company’s quality and risk coordinator, facility manager, staff meetings and tabled at the quality meeting.  This committee includes the facility manager, IC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appropriate skills, knowledge and qualifications for the role, and has been in this role for 11 months.  They have undertaken training in infection prevention and control and attended relevant study days, as verified in training records sighted.  Well-established local networks with the infection control team at the DHB are available and expert advice from the community laboratory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 coordinator confirmed the availability of resources to support the programme and any outbreak of an infection. An increase in the number of hand sanitisers around the facility has occurred recently and the implementation of blood and body spill kits.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2015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Clinical staff interviewed verified knowledge of infection control policies and practices (refer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clinical staff have received education in infection prevention and control at orientation and ongoing education sessions (refer 1.2.7.5).  Education is provided by suitably qualified registered nurses, and the infection control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increased fluids, the availability of ice blocks and advice to hospital and rest home residents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electronic resident management system/infection reporting form/clinical record.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committee. Data is benchmarked internally within the group.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of Norovirus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six residents using restraint and one resident using an enabler. The restraint register is current and updated. The policies and procedures have good definitions of restraints and enablers. The CSM is the restraint coordinator and demonstrated good knowledge relating to restraint minimisation. Staff demonstrated sound knowledge about restraint processes including the difference between restraints and enablers. The restraint coordinator and staff described how they have minimised the use of restraint through comprehensive assessments and review and the minimal use of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is the designated restraint coordinator. Responsibilities of the restraint coordinator and approval committee are clearly outlined. Restraints to be used for residents are approved by the restraint approval committee prior to commencing restraint. The restraint approval committee meets three monthly. Minutes of restraint meetings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discussed in the quality, RN and staff meetings and was evidenced in the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and application for the use of restraint forms are completed prior to commencing restraint. These were evidenced in the files of the residents using restraint. The risk factors were identified in the assessment and the purpose of the chosen restraint was documented. The desired outcomes were clearly documented in the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promotes the safe use of restraint. The restraint coordinator described their expectations relating to this. There is a current and updated restraint register which showed a reduction in the use of restraint since the last audit. The care plans ensure the resident’s safety while using restraint.  Staff demonstrated good knowledge about restraints and strategies to promote resident safety while using restraint. The restraint minimisation policies and procedures are in place and are accessible for all staff to read. Monitoring forms reviewed evidenced residents are viewed at the required times. There were no restraint-related injuries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evaluated at least three monthly and includes the requirements set out in this standard. Each resident using restraint is also reviewed at the approval group meetings, quality and RN meetings. Care staff confirmed that their feedback was obtained by the restraint coordinator and RNs when evaluating the restraint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undertakes monitoring and quality review. Identified issues were discussed in these meetings as well as additional education that is required. Audits of restraint use have been completed as per the audit programme. The restraint minimisation and safe practice policies and procedures are reviewed regularly.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647"/>
        <w:gridCol w:w="170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complaints have been received since the previous audit and six of these evidenced completed documentation, meeting Right 10 of the Code. Three of the complaints did not have a letter of response on the complaints file. The FM stated they were sure the letters had been written and sent to the complainants. The FM printed the letters off during the audit and this showed the complaints had been responded to within the 20-day timeframe. One other complaint had not been responded to and was outside the required timeframe. The FM wrote the letter and sent it to the complainant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Right 10 of the Code has not always been complied with for all complaints received since the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management of complaints meets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CSM, however the CSM stated they are only responsible for the education of the clinical staff and the FM is responsible for educating the non-clinical staff. On-going education has been provided to clinical staff including core topics through on-line learning, education sessions and external education. Spread sheets, staff files and interviews of care staff confirmed this.  Non-clinical staff on-going education is the responsibility of the FM. However, although non-clinical staff have received an orientation covering topics, staff files, the education spreadsheets and interview of non-clinical staff evidenced not all non-clinical staff have received on-going education including challenging behaviour, infection control and managing chemicals. Competency assessments for restraint and medicine management are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non-clinical staff have received on-going education including but not limited to challenging behaviour, infection control and the management of chemicals.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education that is relevant to their position is to be provided to non-clinical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the secure unit have their additional and modified nutritional needs met, however after supper and overnight access to food is limited.  A ‘small’ plate of egg sandwiches is prepared by the cook should residents require food overnight. The pantry in the main kitchen is locked, with a small fridge in the main kitchen containing a few items.</w:t>
            </w:r>
          </w:p>
          <w:p w:rsidR="00EB7645" w:rsidRPr="00BE00C7" w:rsidP="00BE00C7">
            <w:pPr>
              <w:pStyle w:val="OutcomeDescription"/>
              <w:spacing w:before="120" w:after="120"/>
              <w:rPr>
                <w:rFonts w:cs="Arial"/>
                <w:b w:val="0"/>
                <w:lang w:eastAsia="en-NZ"/>
              </w:rPr>
            </w:pPr>
            <w:r w:rsidRPr="00BE00C7">
              <w:rPr>
                <w:rFonts w:cs="Arial"/>
                <w:b w:val="0"/>
                <w:lang w:eastAsia="en-NZ"/>
              </w:rPr>
              <w:t>Staff in the secure unit cannot leave the unit unattended and require a staff member from another area to get any items available and required if residents require food items additional to egg sandwiches.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the secure unit have limited access to additional nutritional requirements to meet their needs over 24 hours per day, seven days per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secure unit has food available to meet residents’ additional needs at all times.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provides the activities programme across the three service streams, facilitating the needs of all residents in the secure unit, rest home and dementia. Observation, interviews and documentation verifies times when residents’ activity requirements are not being met, due to the DT providing activities in other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requests to go on outings in the community is not able to be provided due to the van being deemed unsuitable for the residents.  A request for a new van has been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for residents are planned and provided, however these are unable to develop and maintain residents’ strengths and interests due to limited time and resources allocated.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to develop, facilitate and maintain residents’ strengths, interests and skills.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on one level and hand rails are along passage ways in all the areas. The pathways and gardens are safe for residents and there is a secure garden and footpaths for the residents in the dementia unit to use. The driveway that runs parallel to the facility and leads to the hospital main entrance has large water filled pot holes. Residents’ meeting minutes evidenced they are concerned about the state of the drive. An incident/accident report showed that a resident’s family member had recently fallen while trying to avoid the pot holes.</w:t>
            </w:r>
          </w:p>
          <w:p w:rsidR="00EB7645" w:rsidRPr="00BE00C7" w:rsidP="00BE00C7">
            <w:pPr>
              <w:pStyle w:val="OutcomeDescription"/>
              <w:spacing w:before="120" w:after="120"/>
              <w:rPr>
                <w:rFonts w:cs="Arial"/>
                <w:b w:val="0"/>
                <w:lang w:eastAsia="en-NZ"/>
              </w:rPr>
            </w:pPr>
            <w:r w:rsidRPr="00BE00C7">
              <w:rPr>
                <w:rFonts w:cs="Arial"/>
                <w:b w:val="0"/>
                <w:lang w:eastAsia="en-NZ"/>
              </w:rPr>
              <w:t>The FM advised that UCG head office is aware and quotes for re-surfacing the drive have been received. The FM advised that during the audit the company expected to do the work made contact and they are to visit the site and discuss the work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drive way that leads to the back of the facility and the hospital entrance is unsafe for residents and visitors and needs repairing/re-surfacing.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 timeframe for the completion of the repairs/re-surfacing of the driveway.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Aroha</w:t>
    </w:r>
    <w:bookmarkEnd w:id="58"/>
    <w:r>
      <w:rPr>
        <w:rFonts w:cs="Arial"/>
        <w:sz w:val="16"/>
        <w:szCs w:val="20"/>
      </w:rPr>
      <w:tab/>
      <w:t xml:space="preserve">Date of Audit: </w:t>
    </w:r>
    <w:bookmarkStart w:id="59" w:name="AuditStartDate1"/>
    <w:r>
      <w:rPr>
        <w:rFonts w:cs="Arial"/>
        <w:sz w:val="16"/>
        <w:szCs w:val="20"/>
      </w:rPr>
      <w:t>13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