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Hilda Ross Retirement Village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Hilda Ross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Hilda Ross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October 2016</w:t>
      </w:r>
      <w:bookmarkEnd w:id="7"/>
      <w:r w:rsidRPr="009418D4">
        <w:rPr>
          <w:rFonts w:cs="Arial"/>
        </w:rPr>
        <w:tab/>
        <w:t xml:space="preserve">End date: </w:t>
      </w:r>
      <w:bookmarkStart w:id="8" w:name="AuditEndDate"/>
      <w:r w:rsidR="00A4268A">
        <w:rPr>
          <w:rFonts w:cs="Arial"/>
        </w:rPr>
        <w:t>28 October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Ryman Hilda Ross provides rest home, hospital and dementia level care for up to 171 residents and on the day of the audit there were 148 residents.  The service is managed by a village manager.  The residents and relatives interviewed all spoke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Two shortfalls from the previous audit around care planning and interventions remain.  </w:t>
      </w:r>
    </w:p>
    <w:p w:rsidRPr="00A4268A">
      <w:pPr>
        <w:spacing w:before="240" w:line="276" w:lineRule="auto"/>
        <w:rPr>
          <w:rFonts w:eastAsia="Calibri"/>
        </w:rPr>
      </w:pPr>
      <w:r w:rsidRPr="00A4268A">
        <w:rPr>
          <w:rFonts w:eastAsia="Calibri"/>
        </w:rPr>
        <w:t>There are two areas of continuous improvement awarded for the activities programme and reducing the number of falls.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evidence that residents and family are kept informed.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deputy village manager, assistant village manager and clinical manager are responsible for the day-to-day operations.  Goals are documented for the service with evidence of regular reviews.  A comprehensive quality and risk management programme is in place.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implemented for new staff.  Ongoing education and training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seven days a week.  Residents and families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InterRAI assessments, risk assessments, care plans, interventions and evaluations are completed by the registered nurses.  Care plans demonstrate service integration.  Residents and family interviewed confirmed they were involved in the care plan process and review and were informed of any changes in resident health status.  The general practitioner completes an admission visit and reviews the residents at least three monthly.</w:t>
      </w:r>
    </w:p>
    <w:p w:rsidRPr="00A4268A" w:rsidP="00621629">
      <w:pPr>
        <w:spacing w:before="240" w:line="276" w:lineRule="auto"/>
        <w:rPr>
          <w:rFonts w:eastAsia="Calibri"/>
        </w:rPr>
      </w:pPr>
      <w:r w:rsidRPr="00A4268A">
        <w:rPr>
          <w:rFonts w:eastAsia="Calibri"/>
        </w:rPr>
        <w:t xml:space="preserve">The activity team provide an activities programme which is varied and interesting.  The programme meets the abilities and recreational needs of the group of residents.  Residents are encouraged to maintain links with community groups.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 monthly.  </w:t>
      </w:r>
    </w:p>
    <w:p w:rsidRPr="00A4268A" w:rsidP="00621629">
      <w:pPr>
        <w:spacing w:before="240" w:line="276" w:lineRule="auto"/>
        <w:rPr>
          <w:rFonts w:eastAsia="Calibri"/>
        </w:rPr>
      </w:pPr>
      <w:r w:rsidRPr="00A4268A">
        <w:rPr>
          <w:rFonts w:eastAsia="Calibri"/>
        </w:rPr>
        <w:t xml:space="preserve">The menu is designed by a dietitian at an organisational level.  All baking and meals are cooked on-site.  Individual and special dietary needs are accommodated.   Nutritious snacks are available 24 hours in the dementia are unit.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posted in a visible location.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There were four residents with restraint and six residents with enablers at the time of audit.  Staff have received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includes policies and procedures to guide staff.  The infection prevention and control team holds integrated meetings with the health and safety team.  A monthly infection control report is completed, trends identified and acted upon.   Benchmarking occurs and a six-monthly comparative summary is completed.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65"/>
        <w:gridCol w:w="1280"/>
        <w:gridCol w:w="103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throughout the facility.  Information about complaints is provided on admission.  Interviews with all eight residents (five rest home including one in a serviced apartment, and three hospital) and family confirmed their understanding of the complaints process.  Complainants are provided with information on how to access advocacy services through the HDC Advocacy Service if resolution is not to their satisfaction.</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four managers (village manager, deputy manager, assistant village manager, roaming clinical manager) and twenty staff (five care assistants, seven registered nurses (RNs), one enrolled nurse(EN), five activities coordinators, one physiotherapist, one head chef) confirmed their understanding around the processes implemented for reporting and managing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that includes written and verbal complaints, dates and actions taken and demonstrates that complaints are being managed in a timely manner.  The complaints process is linked to the quality and risk management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contains a comprehensive range of information regarding the scope of service provided to the resident and their family on entry to the service and any items they have to pay for that are not covered by the agreement.  The information pack is available in large print and in other languages.  It is read to residents who are visually impaired.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contact is maintained with family including if an incident or care/health issues arise.  Evidence of families being kept informed is documented on the electronic database and in the residents’ progress notes.  All three family interviewed (one dementia level and two hospital level) stated they were well-informed.  Ten incident/accident forms and corresponding residents’ files were reviewed and all identified that either the next of kin were contacted or requested not to be contacted (minor events only).  Regular resident and family meetings provide a forum for residents to discuss issues or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if needed for residents who are unable to speak or understand English.  There were no residents with English as their second language.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Hilda Ross is a Ryman healthcare retirement village located in Hamilton.  They are certified to provide rest home, hospital and dementia levels of care for up to 151 residents.  In addition, there are 51 serviced apartments with 20 certified to provide rest home level care.  Occupancy during the audit was 148 residents (49 rest home, 57 hospital and 39 dementia residents in the care facility, and 3 rest home level residents in the serviced apartments).  One resident was on an end of life contract (medical); one resident was dementia level respite and six residents (one rest home and five hospital) were on the DHB patient acute care (PAC)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service philosophy that guides quality improvement and risk management.  Specific values have been determined for the facility.  Organisational objectives for 2016 are defined with evidence of monthly reviews and quarterly reporting to senior managers on progress towards meeting these objectives.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has been employed by Ryman for 15 years.  She has been in her current role since October 2015 and previous to this role was a regional manager for two years.  She is an enrolled nurse with a current practising certificate.  She has attended over eight hours (year to date) of professional development activities related to managing an aged care facility.  The village manager is supported by a regional manager, a deputy manager, an assistant village manager and a clinical manager/RN.  At the time of the audit, the clinical manager’s role was being filled by a Ryman roaming clinical manager while a suitable replacement was being sought.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Hilda Ross has a well-established quality and risk management system that is directed by Ryman Christchurch.  Quality and risk performance is reported across the facility meetings and to the organisation's management team.  Discussions with the management team and staff, and review of management and staff meeting minutes demonstrate their involvement in quality and risk activities.  </w:t>
            </w:r>
          </w:p>
          <w:p w:rsidR="00EB7645" w:rsidRPr="00BE00C7" w:rsidP="00BE00C7">
            <w:pPr>
              <w:pStyle w:val="OutcomeDescription"/>
              <w:spacing w:before="120" w:after="120"/>
              <w:rPr>
                <w:rFonts w:cs="Arial"/>
                <w:b w:val="0"/>
                <w:lang w:eastAsia="en-NZ"/>
              </w:rPr>
            </w:pPr>
            <w:r w:rsidRPr="00BE00C7">
              <w:rPr>
                <w:rFonts w:cs="Arial"/>
                <w:b w:val="0"/>
                <w:lang w:eastAsia="en-NZ"/>
              </w:rPr>
              <w:t>Family meetings are held six monthly and residents’ meetings are held every two months.  Minutes are maintained.  Annual resident and relative surveys are completed.  Quality improvement plans are completed with evidence that suggestions and concerns are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procedures, and associated implementation systems to provide a good level of assurance that it is meeting accepted good practice and adhering to relevant standards - including those standards relating to the Health and Disability Services (Safety) Act 2001.  Policies are reviewed at a national level and are forwarded through to a service level in accordance with the monthly team.  They are communicated to staff, as evidenced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There are clear guidelines and templates for reporting.  Management systems, policies, and procedures are developed, implemented and regularly reviewed.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implemented processes to collect, analyse and evaluate data, which is utilised for service improvements.  Results are communicated to staff across a variety of meetings and reflect actions being implemented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two monthly health and safety meetings.  A health and safety representative is appointed who has completed health and safety training.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The data is tabled at staff and management meetings.  Ryman Hilda Ross has achieved tertiary level ACC Workplace Safety Management Practice.  The hazard identification resolution plan is sent to head office and identifies any new hazards.  A review of this, the hazard register and the maintenance register indicates that there is resolution of issues identified.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Lounge carers monitor residents in the lounges.  The falls rate for hospital level residents has reduced over the past two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 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A review of ten incident/accident forms for 2016 identifies that all are fully completed and include follow-up by a registered nurse.  The (roaming) clinical manager is involved in the adverse event process, with links to the applicable meetings (teamRyman, RN, care staff, health and safety/infection control).  This provides the opportunity to review any incidents as they occur.</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is able to identify situations that would be reported to statutory authorities.  Evidence was sighted of a Norovirus outbreak in June 2016 with prompt notification to population health, DHB, disability support link (DSL) Waikato, and Ryman Christchurch to inform them of the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policies including recruitment, selection, orientation and staff training and development.  Nine staff files reviewed (four care assistants, three registered nurses, one chef, one gardener) provided evidence of signed contracts, job descriptions relevant to the role the staff member is in, induction, application form and reference checks.  All files reviewed included annual performance appraisals with eight week reviews completed for newly appointed staff.</w:t>
            </w:r>
          </w:p>
          <w:p w:rsidR="00EB7645" w:rsidRPr="00BE00C7" w:rsidP="00BE00C7">
            <w:pPr>
              <w:pStyle w:val="OutcomeDescription"/>
              <w:spacing w:before="120" w:after="120"/>
              <w:rPr>
                <w:rFonts w:cs="Arial"/>
                <w:b w:val="0"/>
                <w:lang w:eastAsia="en-NZ"/>
              </w:rPr>
            </w:pPr>
            <w:r w:rsidRPr="00BE00C7">
              <w:rPr>
                <w:rFonts w:cs="Arial"/>
                <w:b w:val="0"/>
                <w:lang w:eastAsia="en-NZ"/>
              </w:rPr>
              <w:t>A register of RN and EN practising certificates are maintained within the facility.  Practicing certificates for other health practitioners are retained to provide evidence of registration.</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provides new staff with relevant information for safe work practice.  It is tailored specifically to each position.  There is an implemented annual education plan.  The annual training programme exceeds eight hours annually.  There is an attendance register for each training session and an individual staff member record of training.  Thirty care assistants work in the dementia unit.  Twenty-two have completed their dementia qualification.  The remaining eight staff are enrolled and have been employed to work in the dementia unit for less than one year.</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are supported to maintain their professional competency.  Seven of twenty-two RNs have completed their InterRAI training.  Staff training records are maintained.  There are implemented competencies for RNs, ENs and care assistants related to specialised procedures or treatments including medication competencies and insulin competencies.  Two RNs have completed competencies for male catheterisation with sign-off provided by the clinical nurse specialist-continence from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This defines staffing ratios to residents.  Rosters implement the staffing rationale.  There is a minimum of two RNs and seven care assistants on site at any time.  The serviced apartments are staffed with two care assistants on the AM and PM shifts.   A coordinator oversees the apartments and the rest home and hospital staff provide cover during the night shift.  All staff wear pagers.</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provided five days a week for rest home and dementia level residents and seven days a week for hospital level residents.  A registered physiotherapist is available nine hours a week and a physiotherapy assistant carries out the rehabilitation programmes developed by the physiotherapist.  There are separate laundry and cleaning staff.</w:t>
            </w:r>
          </w:p>
          <w:p w:rsidR="00EB7645" w:rsidRPr="00BE00C7" w:rsidP="00BE00C7">
            <w:pPr>
              <w:pStyle w:val="OutcomeDescription"/>
              <w:spacing w:before="120" w:after="120"/>
              <w:rPr>
                <w:rFonts w:cs="Arial"/>
                <w:b w:val="0"/>
                <w:lang w:eastAsia="en-NZ"/>
              </w:rPr>
            </w:pPr>
            <w:r w:rsidRPr="00BE00C7">
              <w:rPr>
                <w:rFonts w:cs="Arial"/>
                <w:b w:val="0"/>
                <w:lang w:eastAsia="en-NZ"/>
              </w:rPr>
              <w:t>Staff on the floor on the days of the audit were visible and were attending to call bells in a timely manner as confirmed by all residents interviewed.  Staff interviewed stated that overall the staffing levels are satisfactory and that the management team provide good support.  Residents and family members interviewed report there are adequate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Ministry of Health medication requirements.  Medication reconciliation of monthly blister packs is completed by two RNs and any errors fed back to pharmacy.  Registered nurses, enrolled nurses and senior care assistants who administer medications have been assessed for competency on an annual basis.  Care staff interviewed were able to describe their role in regard to medicine administration.  Education around safe medication administration has been provided.  Medications were stored safely.  Medication fridges were monitored weekly.  All eye drops and creams in medication trolleys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self-medicating residents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medication charts (six hospital, six rest home and four dementia care) medication charts were reviewed on the electronic medication system.  The effectiveness of ‘as required’ medications is entered into the electronic medication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is prepared and cooked on-site.  The qualified head chef is supported by a weekend cook and kitchen assistants.  Staff have been trained in food safety and chemical safety.  There is an organisational four weekly seasonal menu that had been designed in consultation with the dietitian at an organisational level.  Meals are delivered in hot boxes and served from bain-maries in the kitchenettes.  Residents have a choice of two meal options for the evening meal.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receives a resident dietary profile for all new admissions and is notified of any dietary changes.  Resident likes, dislikes and dietary preferences were known.  Alternative foods are offered.  Cultural, religious and food allergies are accommodated.  Special diets such gluten free, diary free, diabetic desserts and pureed/soft diets are provided.  Nutritious snacks are available 24 hours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and chiller temperatures and end cooked temperatures are taken and recorded twice daily.  Chilled goods temperature is checked on delivery.  Twice daily food temperatures are monitored and recorded.  All foods were date labelled.  A cleaning schedule is maintained.  Staff were observed to be wearing appropriate personal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 opportunity to provide feedback on the meals through resident meetings, survey and direct contact with the chefs.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 includes nursing diagnosis, actual or potential/deficits, outlined objectives of nursing care, setting goals, and details of implementation. The previous audit identified that not all care plans had all interventions for care requirements documented. This previous audit finding remains.  There was documented evidence of resident/family/whānau involvement in the care planning process in the resident files sampled.  Residents and relatives interviewed confirmed they were involved in the care planning process.  Care plans included involvement of allied health professionals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The family members interviewed stated their relative’s needs were being appropriately met.  When a resident's condition alters, the registered nurse initiates a review and if required a GP visit or nurse specialist consultant.  Care plans are updated to reflect the changes in resident needs/supports (link 1.3.5.2).  Short term care plans are developed for infections.  There continues to be an improvement required around interventions.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23 residents with wounds (skin tears, lesions and chronic wounds/ulcers).  There were three facility and one DHB acquired pressure injuries on the day of audit (one stage one and three stage two).  Adequate dressing supplies were sighted in the treatment rooms.  The service has a wound care champion who reviews wounds weekly.  The wound care champion and RNs could describe access to the DHB wound nurse or district nurses if required.  The GP reviews wounds three monthly or earlier if there are signs of infection or non-healing.  Chronic wounds and pressure injuries are linked to the long-term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team of activities staff (three with diversional therapy qualifications, one in diversional therapy training and two activities coordinators) coordinate and implement the Engage activities programme across the rest home, hospital and dementia units.  Activities staff attend on-site and organisational in-services relevant to their roles.  Activities staff hold current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has set activities with the flexibility for each service level to add activities that are meaningful and relevant for the resident group including Triple AAA exercises, themes events and celebrations, indoor bowls, sensory activities, baking in the kitchenettes, outings and drives.  A mobility van is hired for hospital residents.  Residents in the dementia care unit are taken for daily walks (observed) around the gardens and grounds as weather permits.  Rest home residents in the serviced apartments attend the serviced apartment programme or rest home programme.  Daily contact is made with residents who choose not to be involved in the activity programme.  Community involvement includes entertainers, speakers and church services.  The activities staff have been successful in engaging residents in the Engage programme especially around the pampering sessions and men’s club as evidenced in the residents’ survey results. </w:t>
            </w:r>
          </w:p>
          <w:p w:rsidR="00EB7645" w:rsidRPr="00BE00C7" w:rsidP="00BE00C7">
            <w:pPr>
              <w:pStyle w:val="OutcomeDescription"/>
              <w:spacing w:before="120" w:after="120"/>
              <w:rPr>
                <w:rFonts w:cs="Arial"/>
                <w:b w:val="0"/>
                <w:lang w:eastAsia="en-NZ"/>
              </w:rPr>
            </w:pPr>
            <w:r w:rsidRPr="00BE00C7">
              <w:rPr>
                <w:rFonts w:cs="Arial"/>
                <w:b w:val="0"/>
                <w:lang w:eastAsia="en-NZ"/>
              </w:rPr>
              <w:t>Activity assessments are completed for residents on admission.  The activity plan in the files reviewed had been evaluated at least six monthly with the care plan review.  The resident/family/whānau (as appropriate) are involved in the development of the activity plan.  Residents/relatives have the opportunity to feedback on the programme through the resident meetings and satisfaction surveys.  The service has maintained a continuous improvement rating for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had been evaluated by registered nurses for long term residents who had been at the service for a minimum of six months.  One rest home resident was under the PAC funded contract.  Written evaluations for long term residents describe the resident’s progress against the residents identified goals and any changes are updated on the long-term care plan.  The multidisciplinary review involves the RN, clinical manager, GP, care assistant, activities staff and other allied health professionals involved in the care of the resident.  The family are notified of the outcome of the review if unable to attend.  There is at least a three-monthly review by the medical practitioner.  The family members interviewed confirmed they had been invited to attend the multidisciplinary care plan reviews and GP visits.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(expiry 8 May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appropriate to the complexity of service provided.  Individual infection report forms are completed for all infections and are kept as part of the resident files.  Infections are included on an electronic register and the infection prevention and control officer (registered nurse) completes a monthly report.  Monthly data is reported to the combined infection prevention and control/health and safety meetings.  Staff are informed through the variety of clinical meetings held at the facility.  Meeting minutes include identifying trends, corrective actions and evaluations are available on the staff noticeboard.  The infection prevention and control programme links with the quality programme.  There is close liaison with the GPs and laboratory service that advise and provide feedback and information to the service.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an outbreak from June to July 2016 in all areas.  Relevant authorities were notified and documentation completed on a daily basis.  Staff were kept informed at handovers and by daily memos.  Education sessions were increased.  All staff received an educational debrief.  Public Health acknowledged and congratulated the service on their reactive response to the outbreak.  Infection control policy and practice meets best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other de-escalation strategies have been ineffective.  The policies and procedures are comprehensive, and include definitions, processes and use of restraints and enablers.  On the day of audit, there were four residents with restraint and six using enablers.</w:t>
            </w:r>
          </w:p>
          <w:p w:rsidR="00EB7645" w:rsidRPr="00BE00C7" w:rsidP="00BE00C7">
            <w:pPr>
              <w:pStyle w:val="OutcomeDescription"/>
              <w:spacing w:before="120" w:after="120"/>
              <w:rPr>
                <w:rFonts w:cs="Arial"/>
                <w:b w:val="0"/>
                <w:lang w:eastAsia="en-NZ"/>
              </w:rPr>
            </w:pPr>
            <w:r w:rsidRPr="00BE00C7">
              <w:rPr>
                <w:rFonts w:cs="Arial"/>
                <w:b w:val="0"/>
                <w:lang w:eastAsia="en-NZ"/>
              </w:rPr>
              <w:t>Staff training has been provided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95"/>
        <w:gridCol w:w="1280"/>
        <w:gridCol w:w="5846"/>
        <w:gridCol w:w="3494"/>
        <w:gridCol w:w="142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outcomes of InterRAI assessments and risk assessments linked to interventions in care plans reviewed for three rest home residents, one hospital resident and one dementia care resident.  Care plans for two hospital and one dementia care resident did not reflect the resident’s current health status.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plans did not reflect the resident’s current level of support for; a) one hospital resident with pain management for a new pain, b) one hospital resident’s pressure injury prevention identified as high risk of pressure injury; and c) one resident in dementia care unit with declined mobility (link tracer 1.3.3).</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care plans reflect current interventions and supports required to meet the individual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are not limited to); monthly weight, blood pressure and pulse, neurological observations (unwitnessed falls or identified head injuries), food and fluid charts, restraint monitoring, pain monitoring, blood sugar levels and behaviour charts.  Progress notes document changes in health and significant events however a shortfall continues as identified around interventions.  Residents and relatives confirm their expectations are met and they are kept informed of any changes to health.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dementia resident and one hospital resident with pain did not have pain assessments completed.  Both residents required GP intervention for pain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One PAC funded resident did not have daily weights recorded as instructed on the discharge plan and GP visit.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pain assessments are completed for new episodes of pain</w:t>
            </w:r>
          </w:p>
          <w:p w:rsidR="00EB7645" w:rsidRPr="00BE00C7" w:rsidP="00BE00C7">
            <w:pPr>
              <w:pStyle w:val="OutcomeDescription"/>
              <w:spacing w:before="120" w:after="120"/>
              <w:rPr>
                <w:rFonts w:cs="Arial"/>
                <w:b w:val="0"/>
                <w:lang w:eastAsia="en-NZ"/>
              </w:rPr>
            </w:pPr>
            <w:r w:rsidRPr="00BE00C7">
              <w:rPr>
                <w:rFonts w:cs="Arial"/>
                <w:b w:val="0"/>
                <w:lang w:eastAsia="en-NZ"/>
              </w:rPr>
              <w:t>ii) Ensure monitoring requirements are implemented as instructed from the GP and as documented in discharge summaries.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2552"/>
        <w:gridCol w:w="82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for the collection, analyses, and evaluation of quality data.  Data is collated and analysed.  Data analysis is enhanced using control charts, which identifies normal variation, patterns and trends.  Data is benchmarked against other Ryman facilities.  Communication of results occurs across a range of meetings.  Templates for meetings document actions required, timeframes, and the status of the actions.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Falls were identified in 2015 as an area that required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plan was developed which included identifying residents at risk of falling, providing falls prevention training for staff, encouraging resident participation in the activities programme, and reviewing of clinical indicator data.  Further initiatives implemented included routine checks of all residents specific to each resident’s needs (intentional rounding), the use of sensor mats, perimeter mats, night lights, proactive and early GP involvement, and increased staff awareness of residents who are at risk of falling.  Care assistants interviewed were knowledgeable in regards to preventing falls and those residents who were at risk.  The plan has been reviewed monthly and discussed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falls rate for hospital level residents has gradually been reducing over the past two years.  The average number of falls for hospital level residents peaked in March 2015 with 18 falls per 1000 bed nights.  Since January 2016 falls have steadily declined to as low as 3 falls per month per 1000 bed nights (June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focused on implementing the Engage programme and attendance numbers have increased for sensory activities and the men’s group.  Family/whānau are encouraged to be involved in the Engage activities with their relatives.   Monthly activity reviews/reports, monthly attendance statistics and resident meeting minutes’ evidence satisfaction with the variety of interesting activities.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team are supported by management to develop new initiatives and resources provided to ensure activities are interesting and enjoyable for residents in all areas.  </w:t>
            </w:r>
          </w:p>
          <w:p w:rsidR="00EB7645" w:rsidRPr="00BE00C7" w:rsidP="00BE00C7">
            <w:pPr>
              <w:pStyle w:val="OutcomeDescription"/>
              <w:spacing w:before="120" w:after="120"/>
              <w:rPr>
                <w:rFonts w:cs="Arial"/>
                <w:b w:val="0"/>
                <w:lang w:eastAsia="en-NZ"/>
              </w:rPr>
            </w:pPr>
            <w:r w:rsidRPr="00BE00C7">
              <w:rPr>
                <w:rFonts w:cs="Arial"/>
                <w:b w:val="0"/>
                <w:lang w:eastAsia="en-NZ"/>
              </w:rPr>
              <w:t>1) The ‘sensational senses’ part of the Engage programme commenced February 2016 and includes pampering sessions for small groups and one-on-one time.  The sensational senses activities were expanded (due to its popularity) in September 2016 to include activities such as making marmalade, muffin in a cup and herbal tea tasting.   Over the last four months, hospital attendance at 'sensational senses' has increased with numbers ranging from 20 to 35.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The fortnightly men’s group is a requirement of the Engage programme.  The men’s group occurs weekly at Hilda Ross in the dementia care unit.  Several men from the other areas look forward to attending the men’s group which is held in the quiet lounge or one of the dining rooms for larger groups.  The dementia care unit activity coordinator (male) relates well to the other men attending the group.  He sets themes in the lounge/dining area which is welcoming and reminiscent of times gone by for the men.  Themes include a mini bar with the activity coordinator dressed up as the bartender, beer (as desired) and chips and dip.  Other themes include snooker, darts (magnetic), cards, gambling den, reminiscing of jobs sports etc., sing-a-long, duck shooting (with nerf bullets), old fashioned barber shop, “tinkering” or “fixing”, building or re-vamping items.  The events have led to father/son snooker competitions.  Families interviewed commented positively and ensure they do not plan outings for their relatives on men’s group day.  The activity coordinator and dementia care coordinator state that men who tended to wander were able settle and relax for the duration of the men’s club and often sessions extend beyond the hour to two hours or more.  In August 2015 attendance was 19.2 on average per month and in August 2016 increased to 24.8 per month.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Hilda Ross Retirement Village Limited</w:t>
    </w:r>
    <w:bookmarkEnd w:id="58"/>
    <w:r>
      <w:rPr>
        <w:rFonts w:cs="Arial"/>
        <w:sz w:val="16"/>
        <w:szCs w:val="20"/>
      </w:rPr>
      <w:tab/>
      <w:t xml:space="preserve">Date of Audit: </w:t>
    </w:r>
    <w:bookmarkStart w:id="59" w:name="AuditStartDate1"/>
    <w:r>
      <w:rPr>
        <w:rFonts w:cs="Arial"/>
        <w:sz w:val="16"/>
        <w:szCs w:val="20"/>
      </w:rPr>
      <w:t>27 October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