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Summerhill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on Summerhill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November 2016</w:t>
      </w:r>
      <w:bookmarkEnd w:id="7"/>
      <w:r w:rsidRPr="009418D4">
        <w:rPr>
          <w:rFonts w:cs="Arial"/>
        </w:rPr>
        <w:tab/>
        <w:t xml:space="preserve">End date: </w:t>
      </w:r>
      <w:bookmarkStart w:id="8" w:name="AuditEndDate"/>
      <w:r w:rsidR="00A4268A">
        <w:rPr>
          <w:rFonts w:cs="Arial"/>
        </w:rPr>
        <w:t>30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Two sun lounges were verified at this audit as suitable for rest home or hospital level of care.  The total number of dual purpose beds will increase from 43 to 45.</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on Summerhill provides rest home and hospital (geriatric and medical) level care for up to 43 residents in the care centre.  Two sun lounges were also verified as part of this audit as suitable as resident rooms for rest home/hospital level of care; increasing the numbers of beds to 45.  On the day of audit there were 44 residents.  </w:t>
      </w:r>
    </w:p>
    <w:p w:rsidRPr="00A4268A">
      <w:pPr>
        <w:spacing w:before="240" w:line="276" w:lineRule="auto"/>
        <w:rPr>
          <w:rFonts w:eastAsia="Calibri"/>
        </w:rPr>
      </w:pPr>
      <w:r w:rsidRPr="00A4268A">
        <w:rPr>
          <w:rFonts w:eastAsia="Calibri"/>
        </w:rPr>
        <w:t>The service is managed by a non-clinical village manager who has experience in business management and human resources.  The nurse manager has clinical management experience in aged care.  The management team are supported by operational and clinical managers at head office.   The residents and relatives interviewed spoke positively about the care and services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 xml:space="preserve">The service has addressed three of four previous certification findings around progress notes, care plans and aspects of medicine management.  </w:t>
      </w:r>
    </w:p>
    <w:p w:rsidRPr="00A4268A">
      <w:pPr>
        <w:spacing w:before="240" w:line="276" w:lineRule="auto"/>
        <w:rPr>
          <w:rFonts w:eastAsia="Calibri"/>
        </w:rPr>
      </w:pPr>
      <w:r w:rsidRPr="00A4268A">
        <w:rPr>
          <w:rFonts w:eastAsia="Calibri"/>
        </w:rPr>
        <w:t>An improvement continues to be required around interventions.</w:t>
      </w:r>
    </w:p>
    <w:p w:rsidRPr="00A4268A">
      <w:pPr>
        <w:spacing w:before="240" w:line="276" w:lineRule="auto"/>
        <w:rPr>
          <w:rFonts w:eastAsia="Calibri"/>
        </w:rPr>
      </w:pPr>
      <w:r w:rsidRPr="00A4268A">
        <w:rPr>
          <w:rFonts w:eastAsia="Calibri"/>
        </w:rPr>
        <w:t xml:space="preserve">The service has maintained a continuous improvement around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interviewed report that they are kept informed on all changes to health.  Regular resident’s meetings are held. Residents and their family/whānau are provided with information on the complaints process on admission.  Staff are aware of the complaints process and to whom they should direct concerns or complaints.  Complaints processes are being implemented,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are appropriate to the needs of the residents.  A village manager and nurse manager are responsible for the day-to-day operations of the facility.  Quality and risk management processes have been established including: a site-specific quality plan and goals, risk management programme, incident and accident reporting, infection control data, internal audits, surveys, quality and service meetings and health and safety processes.  </w:t>
      </w:r>
    </w:p>
    <w:p w:rsidRPr="00A4268A">
      <w:pPr>
        <w:spacing w:before="240" w:line="276" w:lineRule="auto"/>
        <w:rPr>
          <w:rFonts w:eastAsia="Calibri"/>
        </w:rPr>
      </w:pPr>
      <w:r w:rsidRPr="00A4268A">
        <w:rPr>
          <w:rFonts w:eastAsia="Calibri"/>
        </w:rPr>
        <w:t xml:space="preserve">Residents receive services from qualified staff.  Human resources are managed in accordance with good employment practice.   The service has an orientation programme that provides new staff with relevant information for safe work practice.  There is an ongoing in-service training programme covering relevant aspects of care.   Registered nursing cover is provided 24 hours a day, 7 days a week.  There are adequate numbers of staff on duty to ensure resident safety.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each stage of service provision.  A registered nurse assesses and reviews residents’ needs, outcomes and goals with resident and/or family/whānau input.  Care plans viewed in resident records demonstrated service integration and are evaluated at least six-monthly.  Resident files included medical notes by the GPs and visiting allied health professionals.</w:t>
      </w:r>
    </w:p>
    <w:p w:rsidRPr="00A4268A" w:rsidP="00621629">
      <w:pPr>
        <w:spacing w:before="240" w:line="276" w:lineRule="auto"/>
        <w:rPr>
          <w:rFonts w:eastAsia="Calibri"/>
        </w:rPr>
      </w:pPr>
      <w:r w:rsidRPr="00A4268A">
        <w:rPr>
          <w:rFonts w:eastAsia="Calibri"/>
        </w:rPr>
        <w:t>Medication policies reflect legislative requirements and guidelines.  Registered nurses and caregivers responsible for administration of medicines complete education and medication competencies.  The medicine charts reviewed meet prescribing requirements and were reviewed at least three-monthly.</w:t>
      </w:r>
    </w:p>
    <w:p w:rsidRPr="00A4268A" w:rsidP="00621629">
      <w:pPr>
        <w:spacing w:before="240" w:line="276" w:lineRule="auto"/>
        <w:rPr>
          <w:rFonts w:eastAsia="Calibri"/>
        </w:rPr>
      </w:pPr>
      <w:r w:rsidRPr="00A4268A">
        <w:rPr>
          <w:rFonts w:eastAsia="Calibri"/>
        </w:rPr>
        <w:t>Two recreational therapists are responsible for providing a seven-day week activity programme for residents.  The programme includes community visitors and outings, entertainment and activities that meet the individual recreation, physical, cultural and cognitive abilities and preferences for each resident group.</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Food, fluid and nutritional needs of residents are provided in line with recognised nutritional guidelines and additional requirement/modified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the management of challenging behaviour and complete restraint competencies. The service has appropriate procedures and documents for the safe assessment, planning, monitoring and review of restraints and enablers.  On the day of audit, the service had eight residents who voluntarily requested enablers and eight residents on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(RN) is responsible for coordinating and providing education and training for staff.  The infection control surveillance programme is appropriate to the size and complexity of the service.  Results of surveillance are acted upon, evaluated and used to determine infection control activities, resources and education needs within the facility.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states the village manager has overall responsible for ensuring all complaints (verbal or written) are fully documented and investigated.  There is an online complaints register that includes all complaints including complaints from the village.  There have been two care centre complaints received by the DHB and investigated by Summerset head office.  Documentation viewed on-site evidenced the complaints had been resolved.  The complaints (not care related) had been entered into the online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Concerns and complaints are discussed at management and clinical meetings.  A complaints procedure is provided to residents within the information pack at entry.  Feedback forms are available for residents/relatives in the main entrance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(one hospital and four rest home) and relatives (two hospital residents) stated they were welcomed on entry and were given time and explanation about services and procedures.  The relatives stated they were kept informed of changes in the resident’s health status and any incidents/accidents.  Resident meetings are held three-monthly.   The village manager and nurse manager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family are advised in writing of their eligibility and the process to become a subsidised resident should they wish to do so.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currently provides care for up to 43 residents at hospital and rest home level care in the care centre.  Two sun lounges were assessed as suitable for dual purpose rooms. On the day of audit, there were 44 residents which included eight rest home residents (including one resident on a radiology contract and one respite care) and 36 hospital residents (including three younger persons and two residents on the intermediate healthcare recovery contract) in the care centre.  All 43 beds in the care centre are dual purpose.    There is a retirement village attached as part of the complex with overall management of the site provided by a village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on Summerhill has a site-specific business plan and goals for 2016 which are reviewed three-monthly with the management team.  Ongoing goals relate to health and safety, falls reduction and the inclusion of recreational activities for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three years. The nurse manager/registered nurse (RN) has been in the role three and a half years and supported by a team of RNs and stable workforce.   A senior RN has been appointed into the clinical nurse leader role and will commence orientation in the near future.   The village manager has completed at least eight hours of education annually including attending the two-day Summerset forums for managers, Summerset regional meetings, ARCC meetings and dementia care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policies, processes and systems are directed from head office and implemented and monitored by the village manager and nurse manager.    Policies and procedures reflect evidence of regular reviews. Polices reflect the implementation of the interRAI assessment and changes in pressure injury prevention and management as per the MOH guidelines.    New and/or revised policies are made available for staff to read and sign that they have read and understand the changes.  Four caregivers interviewed confirmed they sign the reading form for new/reviewed policies and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(with and without injury), bruises, challenging behaviours, infection rates, skin tears and pressure injury.  Data is collated monthly on the SWAY (Summerset way) data base and benchmarked against other Summerset facilities to identify trends.  Quality alerts are received from head office for any unwanted trends identified within facilities.  Quality improvement plans/actions (QIP) have been developed for areas of improvement and progress evaluated at management meetings.  An example of one QIP is reduction of falls with residents encouraged to attend exercises, analysing the time of day of falls and adjusting the staff working times to provide more supervision at these times.  Resident-centred care plans (RCCP) document appropriate interventions for falls prevention.  The DHB target for vitamin D administration is 70% and in September 2015 Summerhill had achieved 75% residents on vitamin D.  Other QIPs in place include the pressure injury prevention plan and end of life action plan which includes implementation of advance directives and ongoing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facility meetings including quality improvement, management, infection control, health and safety, restraint and clinical meetings (RNs and caregivers). Meeting minutes distributed to staff evidence discussion around quality data, trends/analysis, internal audit outcomes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conducted each year.  Results for October 2015 were analysed with an overall result of 94%.  Results were collated and feedback to residents.  The October 2016 survey is in the process of being collated.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with audits completed as per the schedule.  Audits include clinical, environmental, infection control and service audits.  A corrective action plan is raised for non-compliance with re-audits as required.   Meeting minutes’ evidence discussion around outcomes of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is overseen by a health and safety officer who is the property manager.  The health and safety committee meet three-monthly and includes representatives nominated from each area of work.   Staff have the opportunity to have any health and safety concerns addressed at the meeting and the outcomes are fed back to the staff.  The health and safety representative interviewed has been in the role nine months and has confirmed the committee has received an update on the health and safety legislation. All contractors involved in the service met in May 2016 for an update to the new legislation.  A contractor’s board to monitor hazards is used daily as required.   Hazard identification forms are available and a current hazard register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A physiotherapist is available by referral for resident concerns, mobility assessments and provide staff training for safe manual handling and hoist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analysed and entered into the SWAY data base (sighted).  Twelve resident related incident reports for November 2016 were reviewed.   Incident forms identified timely RN assessment, corrective action and follow up.  Neurological observations had been completed for unwitnessed falls.   Corresponding progress notes reviewed documented incidents and interventions.   Care plans reviewed included appropriate falls prevention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confirmed that there is an awareness of the requirement to notify relevant authorities in relation to essential notifications.  There have been two section 31 notifications in 2016 (one fracture requiring hospitalisation and a flooding incident requiring the evacuation of residents in the eight-bed wing).   An improvement in emergency planning was identified and meetings have been held with the local community and DHB to develop the emergency plan around civil defence and evacuation procedures for the facility.  The health and safety consultants from head office were involved in a debrief for staff and corrective actions. Water valves have been replaced in the ceiling to isolate the water supply to the three wings.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and allied health professionals are current.  Six staff files were reviewed (two RNs and four caregivers). Evidence of signed employment contracts, job descriptions, orientation and staff training were available in staff files.  Annual performance appraisals for staff are conducted annually.  Newly appointed staff complete an orientation that is specific to their job duties.  Interviews with four caregivers could describe the orientation programme that includes a period of supervision with a “buddy”.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which aligns with policy reviews and internal audit programme. The in-service schedule is implemented and attendance is recorded. Staff complete competencies relevant to their role.  The nurse manager and diversional therapist are qualified workplace assessors. Care staff have the opportunity to complete Careerforce qualifications. Eleven caregivers have completed Careerforce qualifications this year (six level 4 and five level 3).  Two cleaners have completed level 2.  There is a staff member on duty at all times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nurse manager work 40 hours per week Monday to Friday and are available on call for any emergency issues or clinical support.  The service provides 24-hour RN cover.  There are three RNs on morning shift with two on the afternoon shifts and one on night shift.  There are adequate numbers of caregivers on each duty. Clinical staff interviewed confirmed that staff are replaced and there are sufficient staff on duty.  Staffing levels and skills mix policy is the documented rationale for determining staffing levels and skill mixes for safe service delivery.  There are dedicated activity and housekeeping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Care plans and notes were legible and signed and dated by a registered nurse.  Entries into progress notes are legible, dated, timed and signed by the relevant care assistant or registered nurse including designation.  The previous finding around time of entry in progress notes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and guidelines.  Clinical staff who administer medications (RNs and senior caregivers) have been assessed for competency.  Education around safe medication administration and the use of the electronic medication system has been provided.  Medication blister packs are used for regular and prn medications. There were no residents self-medicating on the day of audit.   All 10 medication charts sampled met legislative prescribing requirements and the GPs had reviewed the medication charts three-monthly.   There are no standing orders in use.   All medications are stored safely.  Eye drops in use had been dated on opening. The medication fridge and medication room temperatures is monitored weekly and are maintained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(including short-stay residents) were reviewed on the electronic medication system.  All charts had photo identification and allergy status.  There was documented evidence of medication reconciliation.  All signing sheets corresponded with the medication chart.  Medication administration monitoring includes weekly checks and monthly audits.  The previous findings around transcribing, standing orders, medication reconciliation and medication prescribing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Summerset on Summerhill are prepared and cooked on-site by a qualified chef and kitchen staff.  There is an eight-weekly seasonal menu which has been reviewed by a dietitian.  Dietary needs are known with individual likes and dislikes accommodated.  Dietary requirements, cultural and religious food preferences are met and additional or modified foods are provided when needed.  Staff were observed assisting residents with their meals and drinks in the dining rooms.  The chef is notified if there are any changes to resident’s dietary needs or weight loss.  Meals are served from a bain marie.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are monitored daily for the fridges, freezer and end cooked foods.  All foods were stored correctly and dated.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Feedback on the meals and food service generally, is provided by one to one comment, resident meeting minutes and surveys.  Residents and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completed training in food safety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Resident-centred care plans describe the individual support and interventions required to meet the resident goals.  The care plans for long-term residents (including the younger person) overall reflected the outcomes of risk assessment tools (link 1.3.6.1).    The previous finding around care plan interventions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in health status.  These have been evaluated regularly and either resolved or if an ongoing problem added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and support plan has been completed for short-term residents (respite, radiation services and intermediate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GP and relevant allied health input is sought.  There is evidence that family members are notified of any changes to their relative’s health including (but not limited to): accidents/incidents, infections, health professional visits and changes in medications.  Discussions with families and notifications are documented 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Wound assessments and treatment plans and evaluations were in place for all current wounds.  Chronic wounds are linked to the long-term RCCP.   There was one facility-acquired stage I (heel) pressure injury on the day of audit.   Wound nurse specialist is available as required.  Continence products are available and residents’ files include a continence assessment and continence products to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identifying resident nutritional status and preferences.  All residents with wounds are commenced on high protein drinks.  Monitoring occurs for weight, vital signs, blood glucose and food/fluid intake.   Pain status was not reflected in the care plan for two residents who identified pain. The previous finding around documented interventions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registered diversional therapist (25 hours per week) and one recreational therapist in training (20 hours per week) to coordinate and implement the seven-day week activity programme.  The activity programme is integrated and meets the needs of the rest home and hospital residents.  The monthly programme includes a variety of activities such as exercises, music, word games, short stories, gardening, art, painting and floral art.  Theme days are held and events celebrated.  Community involvement includes church services, pre-school children visits, international school students, kapa haka groups, Scottish society and entertainers.  The activity team have introduced a lady’s coffee club, men’s time and cognitive stimulation group (a smaller activity group for residents with memory loss).  There are weekly outings for rest home and hospital residents to places of interest.         </w:t>
            </w:r>
          </w:p>
          <w:p w:rsidR="00EB7645" w:rsidRPr="00BE00C7" w:rsidP="00BE00C7">
            <w:pPr>
              <w:pStyle w:val="OutcomeDescription"/>
              <w:spacing w:before="120" w:after="120"/>
              <w:rPr>
                <w:rFonts w:cs="Arial"/>
                <w:b w:val="0"/>
                <w:lang w:eastAsia="en-NZ"/>
              </w:rPr>
            </w:pPr>
            <w:r w:rsidRPr="00BE00C7">
              <w:rPr>
                <w:rFonts w:cs="Arial"/>
                <w:b w:val="0"/>
                <w:lang w:eastAsia="en-NZ"/>
              </w:rPr>
              <w:t>An activity assessment is completed on admission in consultation with the resident/family (as appropriate).  Each resident has diversional therapy care plan that is reviewed at least six-monthly.</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the opportunity to provide feedback and suggestions on the programme through two-monthly resident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are evaluated within three weeks.  Long-term care plans have been reviewed at least six-monthly or earlier for any health changes.  The GP reviews the residents at least three-monthly or earlier if required.  Ongoing nursing evaluations are documented and are evident in changes made to care plans for residents under all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24 July 2017. </w:t>
            </w:r>
          </w:p>
          <w:p w:rsidR="00EB7645" w:rsidRPr="00BE00C7" w:rsidP="00BE00C7">
            <w:pPr>
              <w:pStyle w:val="OutcomeDescription"/>
              <w:spacing w:before="120" w:after="120"/>
              <w:rPr>
                <w:rFonts w:cs="Arial"/>
                <w:b w:val="0"/>
                <w:lang w:eastAsia="en-NZ"/>
              </w:rPr>
            </w:pPr>
            <w:r w:rsidRPr="00BE00C7">
              <w:rPr>
                <w:rFonts w:cs="Arial"/>
                <w:b w:val="0"/>
                <w:lang w:eastAsia="en-NZ"/>
              </w:rPr>
              <w:t>Two sunrooms were verified as suitable for conversion to dual purpose bedrooms.  Each sunroom is located at the end of a wing of bedrooms.  The room is spacious enough for residents to mobilise safely and for the use of a hoist if required.  The bedroom is closely located to a shower/toilet room within the wing.   There are other lounges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wing of eight bedrooms and sun lounge has been fully refurbished following a flood.    There is an ongoing replacement plan for bedroom flooring.  Carpet is being replaced by non-slip vinyl in bedrooms. The concrete floors are being sealed as part of the flooring replacement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sun lounges have been assessed as suitable for bedrooms.  Remaining communal areas include a main lounge, family room with tea making facilities and a sunroom at the end of the third wing of bedrooms.  There is adequate seating available in the dining room to accommodate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sunrooms assessed as suitable for bedrooms have a fire exit door within the room.  The entry door to the sunrooms are fire doors. The fire service provider viewed the sun lounges and approved the rooms for use as bedrooms (letter sighted).  Both sun lounges have call bells appropriately 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ventilation and light in the two sun lounges to be converted as bedrooms.  The windows across the external wall have been tinted for privacy with curtains for added privacy.  There is underfloor heating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including a surveillance procedure, process for detection of infection, infections under surveillance, outbreaks and quality and risk management.  Infection events are collected monthly and entered onto the SWAY electronic system.  The infection control officer (senior RN) provides a monthly infection control report of data, trends and relevant information to the quality improvement team.  Infection control data is discussed at clinical meetings and information is available to all staff. The facility is benchmarked against other Summerset facilities of similar size.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eight residents who have voluntarily requested the use of an enabler.  Four of eight files reviewed evidenced enabler assessments and current care plans that identified the use of the enabler, risks associated with enabler use and monitoring requirements. The use of enablers is reviewed six-monthly in conjunction with the care plan review.   The restraint officer is the nurse manager.  Staff receive training around restraint minimisation that includes restraint competency assessments.  There were eight residents with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26"/>
        <w:gridCol w:w="1280"/>
        <w:gridCol w:w="3915"/>
        <w:gridCol w:w="491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(either interRAI or paper based) had been completed for four of six residents where pain had been identified.  The outcomes of pain assessments had been documented in the care plan for four of six residents (three long term and one short term).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pain management plan in one hospital resident file does not reflect the type and location of pain as identified in the interRAI assessment (pain score 4), and (ii) The pain assessment is incomplete for one intermediate care resident who identifies pain.  Pain management has not been identified in the initial care and support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pain status and management is documented in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7"/>
        <w:gridCol w:w="1280"/>
        <w:gridCol w:w="1308"/>
        <w:gridCol w:w="83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results are analysed for trends. Action plans are developed where infections have increased.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An action plan was developed for an increase in urinary tract infections (UTI) of nine in June 2016.  Hydration and hygiene for individual residents was monitored with an increase in staff awareness through discussion, education and hand hygiene competencies.  Housekeeping staff were included in the quality improvement project.  The cleaning product was changed to a chlorwhite product.  Cleaning schedules have been changed to twice daily for all toilets. The number of UTIs have gradually reduced to one in November 2016.  The data has been analysed and evaluated monthly with a formal evaluation due in December 2016.  The service has maintained a continuous improvement rating for surveillance.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Summerhill</w:t>
    </w:r>
    <w:bookmarkEnd w:id="58"/>
    <w:r>
      <w:rPr>
        <w:rFonts w:cs="Arial"/>
        <w:sz w:val="16"/>
        <w:szCs w:val="20"/>
      </w:rPr>
      <w:tab/>
      <w:t xml:space="preserve">Date of Audit: </w:t>
    </w:r>
    <w:bookmarkStart w:id="59" w:name="AuditStartDate1"/>
    <w:r>
      <w:rPr>
        <w:rFonts w:cs="Arial"/>
        <w:sz w:val="16"/>
        <w:szCs w:val="20"/>
      </w:rPr>
      <w:t>29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