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Palmerston North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Palmerston North</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November 2016</w:t>
      </w:r>
      <w:bookmarkEnd w:id="7"/>
      <w:r w:rsidRPr="009418D4">
        <w:rPr>
          <w:rFonts w:cs="Arial"/>
        </w:rPr>
        <w:tab/>
        <w:t xml:space="preserve">End date: </w:t>
      </w:r>
      <w:bookmarkStart w:id="8" w:name="AuditEndDate"/>
      <w:r w:rsidR="00A4268A">
        <w:rPr>
          <w:rFonts w:cs="Arial"/>
        </w:rPr>
        <w:t>16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Metlifecare Palmerston North is one of over 20 facilities owned and operated by the Metlifecare group. Metlifecare Palmerston North provides rest home and hospital level care for up to 43 residents. The service has 38 beds in the care unit which can be used for either hospital or rest home level care and five village apartments which are approved for rest home level care only. </w:t>
      </w:r>
    </w:p>
    <w:p w:rsidRPr="00A4268A">
      <w:pPr>
        <w:spacing w:before="240" w:line="276" w:lineRule="auto"/>
        <w:rPr>
          <w:rFonts w:eastAsia="Calibri"/>
        </w:rPr>
      </w:pPr>
      <w:r w:rsidRPr="00A4268A">
        <w:rPr>
          <w:rFonts w:eastAsia="Calibri"/>
        </w:rPr>
        <w:t>This surveillance audit was conducted against the Health and Disability Services Standards and the provider’s contract with the district health board. The audit process included the review of organisational documentation, staff files and residents’ clinical files, observations, and interviews with residents, families/whānau, management, staff and a general practitioner.  The clinical quality and risk manager from Metlifecare Limited was also present on the day of audit.</w:t>
      </w:r>
    </w:p>
    <w:p w:rsidRPr="00A4268A">
      <w:pPr>
        <w:spacing w:before="240" w:line="276" w:lineRule="auto"/>
        <w:rPr>
          <w:rFonts w:eastAsia="Calibri"/>
        </w:rPr>
      </w:pPr>
      <w:r w:rsidRPr="00A4268A">
        <w:rPr>
          <w:rFonts w:eastAsia="Calibri"/>
        </w:rPr>
        <w:t xml:space="preserve">Feedback from residents and families/whānau members was positive about the care and services provided. </w:t>
      </w:r>
    </w:p>
    <w:p w:rsidRPr="00A4268A">
      <w:pPr>
        <w:spacing w:before="240" w:line="276" w:lineRule="auto"/>
        <w:rPr>
          <w:rFonts w:eastAsia="Calibri"/>
        </w:rPr>
      </w:pPr>
      <w:r w:rsidRPr="00A4268A">
        <w:rPr>
          <w:rFonts w:eastAsia="Calibri"/>
        </w:rPr>
        <w:t xml:space="preserve">This audit has resulted in two criteria which have gained a higher than usual rating. Continuous improvement ratings are related to quality data and follow-up of corrective actions. There were six criteria which were identified for improvement in the previous certification audit and five have been fully addressed. The sixth area related to service delivery plans, whilst showing improvement, requires further development around ensuring consistency in the development of short term care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family/whanau receive full and frank information and open disclosure from staff. The resident, their families or enduring power of attorneys (EPOAs) are involved in the care planning, decision making and consent processes. Where there is a valid advance directive, the staff act on the decisions. </w:t>
      </w:r>
    </w:p>
    <w:p w:rsidRPr="00A4268A">
      <w:pPr>
        <w:spacing w:before="240" w:line="276" w:lineRule="auto"/>
        <w:rPr>
          <w:rFonts w:eastAsia="Calibri"/>
        </w:rPr>
      </w:pPr>
      <w:r w:rsidRPr="00A4268A">
        <w:rPr>
          <w:rFonts w:eastAsia="Calibri"/>
        </w:rPr>
        <w:t>The service has a documented complaints management system implemented. There are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Metlifecare Limited’s governing body ensures that business and strategic planning is in place to cover all aspects of service delivery. This is reviewed and updated annually. Metlifecare Palmerston North has an annual business plan which is personalised to the services offered at the facility with strategic goals which enhance the organisational direction. Quarterly reporting against the business plan and monthly management reports inform head office of progress with each goal.  The nurse manager is responsible for the overall management of the care facility services. The nurse manager who has worked at Metlifecare Palmerston North for over 12 years is supported by a senior clinical nurse and a team of registered nurses. All staff receive appropriate education for the roles they undertake.   </w:t>
      </w:r>
    </w:p>
    <w:p w:rsidRPr="00A4268A">
      <w:pPr>
        <w:spacing w:before="240" w:line="276" w:lineRule="auto"/>
        <w:rPr>
          <w:rFonts w:eastAsia="Calibri"/>
        </w:rPr>
      </w:pPr>
      <w:r w:rsidRPr="00A4268A">
        <w:rPr>
          <w:rFonts w:eastAsia="Calibri"/>
        </w:rPr>
        <w:t xml:space="preserve">At organisational level there is a clinical governance group to oversee any issues that occur and to provide oversight of all major clinical projects.  At facility level, the quality and risk system and processes support effective, timely service delivery. Corrective action planning is implemented to manage any areas of concern or deficits. The quality management systems include an internal audit process, complaints management, incident/accident reporting, annual resident surveys, restraint and infection control data collection. Quality and risk management activities and results are shared among management, staff, residents and family/whānau, as appropriate.  </w:t>
      </w:r>
    </w:p>
    <w:p w:rsidRPr="00A4268A">
      <w:pPr>
        <w:spacing w:before="240" w:line="276" w:lineRule="auto"/>
        <w:rPr>
          <w:rFonts w:eastAsia="Calibri"/>
        </w:rPr>
      </w:pPr>
      <w:r w:rsidRPr="00A4268A">
        <w:rPr>
          <w:rFonts w:eastAsia="Calibri"/>
        </w:rPr>
        <w:t>There is no resident information accessible to the public.</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Registered nurses are on duty 24 hours each day in the facility and are supported by care staff, and a number of general practitioners. On call arrangements for support from senior staff are in place.  Shift handovers, communication sheets and the updating of residents’ progress notes each shift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generally developed to manage any new problems that might arise. All residents’ files reviewed demonstrated that needs, goals and outcomes are identified and reviewed on a regular basis. Residents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overseen by an experienced diversional therapist,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 xml:space="preserve">Medicines are managed according to policies and procedures based on current good practice and consistently implemented using an electronic system.  Medications are administered by registered nurses, all of whom have been assessed as competent to do so. </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and procedures guide food service delivery, supported by staff with appropriate food safety qualifications. The kitchen was well organised, clean and meets food safety standards.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care facility has a current building warrant of fitness.  The resident call bell system is checked six monthly to meet policy requirements.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Policy states that enablers shall be voluntary and the least restrictive option to meet the needs of the resident to promote independence and safety. At the time of audit there is no restraint or enablers in use. Restraint approval and assessment processes are known to staff. Staff undertake education related to restraint minimisation and they have a clear understanding of the difference between enablers and restraints and how to safely manage both.</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systematic and comprehensive approach to infection surveillance. Surveillance data is collected, analysed, trended and benchmarked.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8"/>
        <w:gridCol w:w="1280"/>
        <w:gridCol w:w="97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Metlifecare Palmerston North implements organisational policies and procedures to ensure complaints processes reflect a fair complaints system. All complaints are registered at Metlifecare head office electronically. Residents, family/whānau and staff reported during interview that they understand the complaints processes in place and are aware of where to find written complaints forms. These are located outside the Garden Lounge.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 register which identifies the nature of the complaint, the date received and the actions taken to address the complaint. Documented complaints information is used to improve services as appropriate. Complaints are a standing agenda item for all meetings including management and staff meetings as confirmed in meeting minutes sighted. All complaints have been managed at a facility level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outstanding complaints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has been provided related to appropriate communication methods and staff confirmed during interview they report all concerns. Family/whanau and resident interviews confirmed they are well informed by staff.  The service has not required access to interpreting services for the residents and at the time of audit there are no residents with English as a second language. Information to access approved interpreter services is available to all staff and policies and procedures guide staff actions. Documentation of open disclosure following incidents/accidents was evident. The services use an electronic reporting system which prompts staff to ensure family/whanau notification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philosophy, mission statement and values are clearly documented. Metlifecare Palmerston North has a personalised business plan which is in line with the direction and objectives of the organising body as identified in the organisation’s operating plan and five-year strategic vision plan. The business plan identifies how services are planned to address residents’ needs. Documented annual goals are reported against quarterly by the nurse manager to the organisation’s board of trustees. The nurse manager’s monthly report includes quality data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25 hospital and 14 rest home level care beds occupied. Two of the rest home level care residents own their own apartments under an occupational right agreement but have age related care services which are approved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facility is managed by a nurse manager who has been in the role for many years and she holds a current annual practising certificate as a registered nurse. A team of registered nurses supports the nurse manager, all of whom maintain appropriate education and qualifications for the roles they undertake. The clinical quality and risk manager represented the Metlifecare organisation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confirmed that the service meets their needs. The resident satisfaction survey results show that for the 2016 resident satisfaction survey results gained an 89% rating for overall satisfaction with services provided. No negative comments were received during interviews with family/whānau, residents or staff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which was understood and implemented by service providers. This includes the development and update of policies and procedures at organisational level, regular internal audits, incident and accident reporting, health and safety reporting, infection control data collection and complaints management. Following a quality project, the facility is now restraint free.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operating plan for Metlifecare Palmerston North includes quality objectives with progressive measurement processes identified. Quality data collected are analysed at facility and governance level. Data analysis is discussed and viewed at clinical governance level and by the organisational clinical management team. Quality data results are trended against previously collected data and the other Metlifecare care units. Infection control, falls, urinary tract infections, pressure injuries and restraint use and psychotropic medications use are also benchmarked by an off-site company against other like community facilities and reports are generated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results are shared at all levels of the organisation including at the monthly staff meetings. At facility level this information is used to inform ongoing planning of services to ensure residents’ needs are met. If an issue or deficit is found a corrective action is put in place to address the situation. This is verified in meeting minutes sighted and by staff during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analysis processes and corrective action planning are shown to generate projects which are clearly documented. The service achievement of both the before mentioned areas are rated beyond the expected fully attainment as resident safety or satisfaction has been measured and shows positive results have been achieved.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and documented in the hazard register and in the quality and risk plan. All known risks are evaluated each year at governance level and the risk register is updated. Newly found hazards at the care facility are communicated to staff and residents as appropriate. Staff confirmed that they understood and implemented documented hazard identification processes which are taken to the health and safety committee meetings and any required follow up is monitored. New hazards are also alerted to head office via an electronic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family/whānau interviews confirmed any concerns had been fully addressed by management. Quality improvements are documented and the corrective action process can be followed from the time an issue is recognised until it is implemented, reviewed, outcome evaluated and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as identified in policy, is implemented by the service.  The nurse manager confirmed her awareness of the organisation’s requirement related to statutory and or/regulatory reporting obligations including pressure injury reporting to meet documented protocol.   One example of reporting an adverse event related to a gastro outbreak of no confirmed know origin in May 2016. All authorities were notified.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they report and record all incidents and accidents and that this information was shared at all levels of the organisation, including any follow up actions required. Follow up actions are reported on the incident and accident forms. This is confirmed in documentation sighted. All incident and accident forms are reviewed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documentation sighted confirmed family/whānau are notified of any adverse events or concerns staff have about residents. This process is aided by the electronic reporting system which is in place that prompts staff to remind them this is a requirement. </w:t>
            </w:r>
          </w:p>
          <w:p w:rsidR="00EB7645" w:rsidRPr="00BE00C7" w:rsidP="00BE00C7">
            <w:pPr>
              <w:pStyle w:val="OutcomeDescription"/>
              <w:spacing w:before="120" w:after="120"/>
              <w:rPr>
                <w:rFonts w:cs="Arial"/>
                <w:b w:val="0"/>
                <w:lang w:eastAsia="en-NZ"/>
              </w:rPr>
            </w:pPr>
            <w:r w:rsidRPr="00BE00C7">
              <w:rPr>
                <w:rFonts w:cs="Arial"/>
                <w:b w:val="0"/>
                <w:lang w:eastAsia="en-NZ"/>
              </w:rPr>
              <w:t>Management confirmed during interview that information gathered from incident and accidents is used as an opportunity to improve services where indicated. (Refer comments in criteria 1.2.3.8).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This is reflected in the six staff files reviewed. All roles have job descriptions that describe staff responsibilities and accountability. Staff complete an orientation programme with specific competencies for their roles. Each file reviewed had completed orientation/competency booklets and up to date annual appraisals. Documentation in the staff files reviewed confirmed some competencies, such as medication management are repeated annually. Staff that require professional qualifications have them validated as part of the employment process and on an ongoing annual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sighted identifies that staff undertake training and education related to their roles. Topics covered in annual training and education relates to age care and health care services. The education calendar is set at head office and Metlifecare Palmerston North add additional items as required to ensure staff interests and needs are met. Education occurs both on and off site.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identified that services are delivered in a professional manner to meet all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via the use of a ‘staffing level planning tool’ to meet residents’ needs and to comply with contractual requirements. Documentation identifies that at all times adequate numbers of suitably qualified and experienced staff are on duty to provide safe and quality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numbers are analysed at head office to ensure the number of staff on each shift is adequate to meet residents’ needs depending on care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four weeks’ rosters shows that staff are replaced when on annual leave or sick leave. Staff interviewed confirmed there are adequate staff on each shift and that they have time to complete all tasks to meet residents’ needs. There is a registered nurse of every shift. Residents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works five days a week and the senior registered nurse works five days a week to oversee all clinical activity. There are dedicated activity, reception, cleaning, and laundry staff. The night shift carries two caregivers and one registered nurse. One of the caregivers responds to emergency call bells for village residents. Staff report the registered nurse does not leave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Three of the eight registered nurses hold current interRAI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information was kept in secure areas in the staff area and these were not accessible or observable to the public. There was no private information on display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Medication administration records confirmed that medications were administered as prescribed.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self-administered medications at the time of audit. Comprehensive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team led by an experienced kitchen manager and is in line with recognised nutritional guidelines for older people.  A new menu, which follows an eight-week cycle and has been reviewed by a registered dietician is just about to be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are monitored appropriately and recorded as part of the plan. The kitchen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completed in September 2016 identified a 58% satisfaction rate with food services. The service has instigated a comprehensive action plan to improve satisfaction with meals. This includes a full menu review by a registered dietician and the appointment at group level of a food adviser with many years’ industry experience and appropriate qualifications. Re-auditing of resident satisfaction with food services will be undertaken in three months.  All residents interviewed during the audit stated that they enjoyed the meals, and that they were offered alternative options if they did not like something that was on the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is sufficient staff on duty in the two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wound management, the care plans reviewed reflected the support needs of residents, and the outcomes of the integrated assessment process and other relevant clinical information. Care plans evidence service integration with progress notes, activities notes, medical orders, and were clearly written, informative and relevant. Any change in care required is documented and the senior registered nurse advised these were then verbally passed on to relevant staff. Residents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general practitioner who regularly visit the facility confirmed that the provision of care for residents was consistent with their needs and goals, and confirmed their satisfaction with the standard of care. They reported that they were advised in a timely manner of any changes in a resident’s clinical condition, and that their prescribed treatments were followed.  Care plans included detailed strategies to guide care delivery staff. A range of equipment and resources was available, suited to the level of care provided and in accordance with the residents’ needs. All residents interviewed advised they were satisfied with service provision.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full-time qualified and experienced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Examples include regular outings, crafts, gardening, word games, bowls and housie, knit and natter groups, exercises, church services and entertainment. The activities programme is discussed at the regular residents’ meetings and residents’ input is sought and responded to.  Residents interviewed confirmed they find the programme interesting and engaging.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and detailed care plan evaluations occur at least every six months in conjunction with the six-monthly interRAI reassessment or as residents’ needs change.  The RN documents evaluations. Where progress is different from expected, the service responds by initiating changes to the plan of care. Short term care plans had been reviewed within appropriate time frames, and progress evaluated. Residents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which expires 31 August 2017.  There is an approved fire evacuation for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call bells are located in all resident areas. Resident and family/whānau interviews confirmed call bells were answered in an acceptable timeframe. Call bells are checked six monthly and dates sighted were 29 April 2016 and 07 October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Well-established and comprehensive systems are in place to monitor infections. Surveillance is appropriate to that recommended for long term care facilities, with infection definitions reflecting a focus on symptoms rather than laboratory results.  These include urinary tract, soft tissue, eyes, gastro-intestinal and respiratory tract. When an infection is identified, a record of this is documented in the group’s electronic resident management system. The infection control coordinator reviews all reported infections.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The service operates two systems for this – a monthly evaluation against other facilities within the group, and an external benchmarking system which reports results against like facilities.  Results are reported to the facility manager, reported at group level, and reported to the facility’s health and safety committee. Surveillance results are also shared with staff at the registered nurses and general staff meetings, as confirmed in meeting minutes sighted and interviews with staff.  See also criterion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summary report for gastrointestinal infection outbreak earlier in the year was reviewed and demonstrated a thorough process for investigation and follow 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It states that the service aims to minimise the use of restraint and to ensure that if restraint is necessary, to keep the resident safe from harm. The use of enablers is voluntary and the least restrictive option to meet the needs of the resident. Policy contains all necessary documentation related to the safe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managed to gain a restraint free environment and had no restraints or enablers in use at the time of audit. (Refer comments in criterion 1.2.3.6). Clinical staff undertake annual restraint minimisation education. Staff are required to complete a written competency related to the safe and correct use of restraint should it be required. Staff verbalised their knowledge and understanding of safe restraint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4"/>
        <w:gridCol w:w="1280"/>
        <w:gridCol w:w="7727"/>
        <w:gridCol w:w="1281"/>
        <w:gridCol w:w="14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previous corrective action from the certification identified that service delivery plans do not fully describe the support a resident requires to meet their needs.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responsible for the development of each individualised plan for care, and for the ongoing evaluation and review process. Initially five clinical files were reviewed, and comprehensive long-term care plans had been developed for all these residents. With one exception, these plans reflected all care requirements. Examples were sighted of short term care plans being developed as clinically indicated, and then reviewed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a review of the documentation related to two wounds, the file sample size was expanded to include another six residents whose names appeared on the current wounds register. The assessment of these wounds, and the documentation related to wound treatment was mostly comprehensive.  Five of these residents had no short-term care plan related to their wound; the wound treatment record of two residents did not include the date on which the wound should next be reviewed, and in three instances there was no evidence that the last scheduled wound review had taken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not consistently developed for residents in relation to wound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plans describe the required supports and/or interventions.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8889"/>
        <w:gridCol w:w="22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to meet all key components of service delivery. This data is trended against other Metlifecare facilities and previously collected data monthly. It is reviewed at governance, management, and facility level. Clinical data is also benchmarked by an independent, off-site provider against other like facilities in the community and reported against three monthly. The clinical quality and risk manager, who monitors all data, gains regular reports, and assists with projects to ensure any major rise in reported quality data is fully addressed. Examples sighted relate to corrective actions being put in place as a result of the resident satisfaction survey results showing a 53% rating for the quality of meals, responding to staff satisfaction engagement results which highlighted staff dissatisfaction with their staff room, and follow up of medication audit results. Positive outcomes have been gained by Metlifecare engaging a dedicated staff member employed to oversee and improve all food services, a dietitian was involved in review of menus and on the day of audit no negative comments were made about food services. Internal audits show overall resident satisfaction. Staff now have a refurbished staff room which they are very happy with. Medication errors have decreased following intensive ongoing staff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quality issue is documented to show what the issue found was, how it was to be addressed, who was responsible for follow up, re-evaluation and the success of the outcome prior to being signed off. The project related to the facility becoming restraint free (which is yet to be fully evaluated) identifies that residents and family/whanau were fully informed of how this would happen and how the risk was to be managed. It also involved discussion with key staff from the public hospital when resident discharge was being arranged prior to entry to the facility to ensure family/whanau and residents were made aware that alternative techniques are trialled rather than restraint. This project to date has resulted in a restraint free environment compared to 18 restraints (12 restraints and six enabler) the same time last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demonstrate that all quality and risk data collected is analysed and evaluated. Evaluated data is used to make improvements to services by ensuring issues found are followed up and clearly documented. Outcomes are measurable and identify how residents, visitors and staff benefit from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depth to which corrective action planning is addressed at Metlifecare Palmerston North is rated beyond the expected fully attainment. The corrective action plans sighted show each step of the process and measurable outcomes to improve service delivery. For example, in August 2016 an internal audit identified that not all staff were not documenting why pro re nata (PRN) medication was being given or the effectiveness of the medication. It gained a 96% result.  Following staff education and senior staff mentoring the medication audit gained a 100% audit result in September and November 2016.  Other examples of audit result follow up shows that this is embedded into practice and that outcome measures have improved the way services are delivered and resident safety.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can demonstrate consistent measured follow up documented in corrective action planning reflects current best practice and is undertaken within set timelines. Results sighted identify changes made to some aspects of service delivery and staff awareness ensure a safer environment for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Palmerston North</w:t>
    </w:r>
    <w:bookmarkEnd w:id="58"/>
    <w:r>
      <w:rPr>
        <w:rFonts w:cs="Arial"/>
        <w:sz w:val="16"/>
        <w:szCs w:val="20"/>
      </w:rPr>
      <w:tab/>
      <w:t xml:space="preserve">Date of Audit: </w:t>
    </w:r>
    <w:bookmarkStart w:id="59" w:name="AuditStartDate1"/>
    <w:r>
      <w:rPr>
        <w:rFonts w:cs="Arial"/>
        <w:sz w:val="16"/>
        <w:szCs w:val="20"/>
      </w:rPr>
      <w:t>16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