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(South Canterbury) Incorporated - Margaret Wilson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Services (South Canterbury)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Margaret Wilson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November 2016</w:t>
      </w:r>
      <w:bookmarkEnd w:id="7"/>
      <w:r w:rsidRPr="009418D4">
        <w:rPr>
          <w:rFonts w:cs="Arial"/>
        </w:rPr>
        <w:tab/>
        <w:t xml:space="preserve">End date: </w:t>
      </w:r>
      <w:bookmarkStart w:id="8" w:name="AuditEndDate"/>
      <w:r w:rsidR="00A4268A">
        <w:rPr>
          <w:rFonts w:cs="Arial"/>
        </w:rPr>
        <w:t>23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Margaret Wilson complex is part of the Presbyterian Support South Canterbury (PSSC) organisation.  Margaret Wilson is one of three aged care facilities managed by PSSC.  The service is certified to provide rest home, hospital (medical and geriatric) and physical disability level care for up to 70 residents with 69 residents on the day of audit.  </w:t>
      </w:r>
    </w:p>
    <w:p w:rsidRPr="00A4268A">
      <w:pPr>
        <w:spacing w:before="240" w:line="276" w:lineRule="auto"/>
        <w:rPr>
          <w:rFonts w:eastAsia="Calibri"/>
        </w:rPr>
      </w:pPr>
      <w:r w:rsidRPr="00A4268A">
        <w:rPr>
          <w:rFonts w:eastAsia="Calibri"/>
        </w:rPr>
        <w:t xml:space="preserve">The nurse manager has been in the role for three years and is supported by a nurse team leader, registered nurses, PSSC management and care staff.  Family and residents interviewed spoke positively about the care and support provided. </w:t>
      </w:r>
    </w:p>
    <w:p w:rsidRPr="00A4268A">
      <w:pPr>
        <w:spacing w:before="240" w:line="276" w:lineRule="auto"/>
        <w:rPr>
          <w:rFonts w:eastAsia="Calibri"/>
        </w:rPr>
      </w:pPr>
      <w:r w:rsidRPr="00A4268A">
        <w:rPr>
          <w:rFonts w:eastAsia="Calibri"/>
        </w:rPr>
        <w:t>This surveillance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w:t>
      </w:r>
    </w:p>
    <w:p w:rsidRPr="00A4268A">
      <w:pPr>
        <w:spacing w:before="240" w:line="276" w:lineRule="auto"/>
        <w:rPr>
          <w:rFonts w:eastAsia="Calibri"/>
        </w:rPr>
      </w:pPr>
      <w:r w:rsidRPr="00A4268A">
        <w:rPr>
          <w:rFonts w:eastAsia="Calibri"/>
        </w:rPr>
        <w:t xml:space="preserve">The service has addressed one of the two previous audit findings relating to monitoring of enablers. Further improvements continue to be required around care plan documentation. </w:t>
      </w:r>
    </w:p>
    <w:p w:rsidRPr="00A4268A">
      <w:pPr>
        <w:spacing w:before="240" w:line="276" w:lineRule="auto"/>
        <w:rPr>
          <w:rFonts w:eastAsia="Calibri"/>
        </w:rPr>
      </w:pPr>
      <w:r w:rsidRPr="00A4268A">
        <w:rPr>
          <w:rFonts w:eastAsia="Calibri"/>
        </w:rPr>
        <w:t xml:space="preserve">This audit identified that improvements are also required around corrective actions, staff training, wound management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Care plans accommodate the choices of residents and/or their family/whānau.  Discussions with families identified that they are fully informed of changes in health status.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PSSC board of directors provides governance to the service.  The service is implementing the Eden Alternative philosophy.  The quality and risk management programme includes service philosophy, goals and a quality planner.  Quality improvement activities including benchmarking, are conducted.  Meetings are held to discuss quality and risk management processes.  Residents meetings have been held and residents and families are surveyed annually.  Health and safety policies, systems and processes are implemented to manage risk.  Incidents and accidents are reported.  Appropriate employment processes are adhered to.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reviews are completed by a registered nurse within the required timeframes.  Each resident has access to an individual and group activities programme.  The group programme is varied and interesting.   General practitioners review residents at least three-monthly or more frequently if needed.  Aspects of medication management require improvement.  Meals are prepared off-site at another PSCC site in Timaru and delivered in insulated containers to the facility.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in place.  Staff receive training in restraint minimisation and challenging behaviour management.  The service has achieved a restraint-free environment. Seven residents have enablers, which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are in place.  The chief executive officer (CEO) of PSSC manages all complaints for the service and allocates investigations to senior management depending on the nature of the complaint.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A review of the complaints register evidences that the appropriate actions have been taken in the management and processing of complaints.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residents interviewed (two hospital, four rest home and two younger persons with disabilities YPD), stated they were welcomed on entry and were given time and explanation about the services and procedures.  A sample of incident reports reviewed and associated resident files, evidenced recording of family notification.  Two relatives interviewed (one YPD and one hospital) confirm they are notified of any changes in their family member’s health status.  The nurse manager and registered nurses were able to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Margaret Wilson is part of the Presbyterian Support South Canterbury (PSSC) organisation.  The nurse manager is a registered nurse and maintains an annual practising certificate.  She has been in the role for three years.  The nurse manager is supported by a registered nurse team leader, registered nurses, care staff and PSSC management team including the general manager for services for older peoples and the chief executive officer (CEO).   The organisation has an overall strategic plan and quality programme with specific quality initiatives conducted at Margaret Wilson.  The organisation has a philosophy of care which includes a mission statement.  The Eden Alternative philosophy of care is an important part of the organisation which is understood and implemented by all members of the organisation including the Board.  Buffet style of dining for rest home residents continues to be positively received by residents.  The principles of addressing helplessness, boredom and loneliness are incorporated in the cares provided and in the activities programme.  Staff are encouraged to share and record ‘Eden moments’ where their actions have made a difference to residents in some way.  The service aims to maintain an environment which is as home-like as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completed in excess of eight hour’s professional development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South Canterbury has an organisational strategic plan (2014-</w:t>
              <w:br/>
              <w:t xml:space="preserve">2019) and a business plan (2014-2016). The quality plan for PSSC also includes specific quality goals and risk management plans for PSSC Margaret Wilson.  The current quality goals include implementation of the Eden Alternative and introduction of an electronic medication system.  Interviews with staff confirmed that quality data is discussed at monthly staff meetings and is included in the monthly staff newsletter.  A monthly combined quality improvement (CQI) meeting is held for all three PSSC facilities where all quality data and indicators are discussed.  The CQI committee includes nurse managers from all facilities and clinical coordinators.  Minutes of these meetings are made available to all staff.  The quality and risk management programme is designed to monitor contractual and standards compliance.  The service's policies are reviewed at organisational level by the clinical managers group with input from facility staff every two years.  New/updated policies are sent from head office.  Staff have access to manuals.  A monthly report is provided to the general manager for services for older people and monthly data is collated in relation to PSSC benchmarking data.  </w:t>
              <w:br/>
              <w:t xml:space="preserve">Resident/relative meetings are held.  Restraint and enabler use is reported within the registered nurses’ meetings.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Residents are surveyed to gather feedback on the service provided and the outcomes are communicated to residents, staff and families. Corrective actions have not always been developed for shortfalls identified or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The health and safety meeting includes discussion around equipment, resources, hazards, staff incidents and training requirements. There are 10 staff on the health and safety committee and all have completed a minimum of stage 1 training. 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nurse manager and analysis of incident trends occurs.  Incidents are included in the PSSC continuous quality improvement programme.  There is a discussion of incidents/accidents at health and safety meetings including actions to minimise recurrence.  Clinical follow up of residents is conducted by a registered nurse as evidenced in the 21 reports reviewed for November 2016.  Discussions with the nurse manager and PSSC management team confirms that there is an awareness of the requirement to notify relevant authorities in relation to essential notifications.  Family notification was recorded on incident forms and in progress notes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in place which includes recruitment.  Staff selection process requires that relevant checks are completed to validate the individual’s qualifications, experience and veracity.  A copy of practising certificates is kept.  Seven staff files were reviewed and evidence that reference checks are completed before employment is offered.  The service has in place a comprehensive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In-service education programme for 2015 has been completed and a plan for 2016 is being implemented, however, not all training requirements have been provided. Caregivers are facilitated to complete an aged care education programme.  Staff attend an annual compulsory study day which includes training around the Eden Alternative programme.  The nurse manager and registered nurses are able to attend external training including sessions provided by the local DHB.  Annual staff appraisals were evident in all staff files reviewed.  Six-monthly fire evacuation drills have been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PSSC policy includes rationale for staff rostering and skill mix.  Sufficient staff are rostered on to manage the care requirements of all residents.  At least one registered nurse and one caregiver is rostered on at any one time in the hospital unit, one caregiver in the physical disability unit and two care staff in the rest home.  There is a registered nurse employed to oversee the care in the hospital and physical disability unit (team leader) and a registered nurse employed to oversee the rest home area.  Advised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 facility uses an electronic medication management system. Not all medicines are appropriately stored in accordance with relevant guidelines and legislation.   A registered nurse checks all medications on delivery against the medication and any pharmacy errors are recorded and fed back to the supplying pharmacy.  The medication rooms in three areas were clean and well organised.  The medication fridges have temperatures recorded daily and these are within acceptable ranges.  The medication round observed during the audit was completed correctly.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 and senior caregivers responsible for the administering of medications have completed annual medication competencies and annual medication education.  Caregivers who act as second checker have also completed medication competencies.  The standing orders have been approved by the GPs annually and meet the legislative requirements for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Photo identification and allergy status were documented on all twelve medication charts reviewed.  All medication charts for permanent residents had been reviewed by the GP at least three-monthly.  Not all resident medication administration signing sheets corresponded with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There is a self-medicating resident’s policy and procedure in place.  There is currently one rest home resident who self-administers medications.  Three-monthly competency assessments were completed. The resident’s medication is stored in a locked drawer in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large well-appointed kitchen. All meals are prepared off-site at another PSSC village in Timaru and delivered to the facility in insulated containers. There is a dining area in each unit. Food is transported to the dining areas in insulated boxes to be served from Bain maries in servery areas to the residents.  Food temperatures are recorded on delivery and again prior to serving.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provides a buffet service in the rest home for the breakfast and evening meal as part of the Eden philosophy to allow residents’ food choices and maintain independence.  Residents who wish to have breakfast in bed also have a buffet choice.  Residents, relatives and staff report positively about the buffet service and residents were observed at meal times independently or with assistance enjoying the buffet.  Meals are delivered to residents in their rooms when required.  Kitchen staff are trained in safe food handling and food safety procedures were adhered to.  Staff were observed assisting residents with their lunchtime meals and drinks.  Special eating utensils are available.  Diets are modified as required.  Resident dietary profiles and likes and dislikes are known to food services staff and any changes are communicated to the kitchen via the registered nurses or team leader.  Supplements are provided to residents with identified weight loss issues.  Weights are monitored monthly or more frequently if required and as directed by a dietitian.  Resident meetings, surveys and feedback forms allow for the opportunity for resident feedback on the meals and food services generally.  Staff also complete food feedback forms.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were reviewed. Initial and long-term care plans were in place for all six residents. The service has a specific acute health needs care plan that included short-term cares.  Resident files reviewed identified that family were involved in the care plan development and ongoing care needs of the resident.  Not all long-term care plans documented the resident’s problem/need, objectives, interventions and evaluation for identified issues.  Activity plans are developed for each resident as evidenced in all files sampled. This aspect of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enrolled nurses and caregivers follow the care plan and report progress against the care plan each shift at handover.  If external nursing or allied health advice is required, the RNs will initiate a referral (e.g., to the district nurse or wound care specialist nurse).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were not fully completed for all wounds. On the day of audit there were eight wounds currently being treated which included: blisters, two skin tears, one surgical wound and one resident with four wounds.   All wounds have been reviewed in appropriate timeframes.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caregivers demonstrated an understanding of the individualised needs of residents. There was evidence of pressure injury prevention interventions such as food and fluid charts, regular monitoring of bowels and regular (monthly or more frequently if required) weight management. Turning charts were not evidenced to be completed (link to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follows the Eden philosophy and is resident focused. The programme meets the recreational needs of the residents and reflects normal patterns of life. The activities staff (two are diversional therapists) provide an activities programme over seven days each week.  The programme is planned monthly and residents receive a personal copy of daily activities.  Weekly activities are displayed on noticeboards around the facility.  There are two programmes developed, one for rest home and one for the hospital.  Residents can attend any activity provided on the programmes.  </w:t>
            </w:r>
          </w:p>
          <w:p w:rsidR="00EB7645" w:rsidRPr="00BE00C7" w:rsidP="00BE00C7">
            <w:pPr>
              <w:pStyle w:val="OutcomeDescription"/>
              <w:spacing w:before="120" w:after="120"/>
              <w:rPr>
                <w:rFonts w:cs="Arial"/>
                <w:b w:val="0"/>
                <w:lang w:eastAsia="en-NZ"/>
              </w:rPr>
            </w:pPr>
            <w:r w:rsidRPr="00BE00C7">
              <w:rPr>
                <w:rFonts w:cs="Arial"/>
                <w:b w:val="0"/>
                <w:lang w:eastAsia="en-NZ"/>
              </w:rPr>
              <w:t>Residents with physical disability attend activities in the rest home/hospital and the community that are appropriate to meet their needs.   An activity profile is completed on admission in consultation with the resident/family (as appropriate). The activities documentation in the resident files sampled reflected the specific requirements of each resident. Activity plans were evidenced to have been reviewed six-monthly for all permanent residents. Residents interviewed reported that the activity programme had a focus on maintaining independence, reducing boredom and was varied and fun.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that is used for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had transformed a conservatory into a Santa’s Grotto.  Residents were able to have their photos taken with Santa and these photographs were used to print Christmas cards to send to their families.  Families had also been invited to have their photograph with Santa. Residents interviewed reported that it felt very special to have their photograph taken with their children and grandchildren at Christmas.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six-monthly.  There was at least a three-monthly review by the GP.  All changes in health status were documented and followed up.  Reassessments have been completed using interRAI LTCF for all residents who have had a significant change in health status.  The RN completing the plan signs care plan reviews.  Short-term care plans sighted were evaluated and resolved or added to the long-term care plan if the problem is ongoing (link finding 1.3.5.2), as sighted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1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PSSC’s infection control manual.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are entered on to a monthly infection summary.  This data is monitored and evaluated monthly and annually and provided to PSSC general manager of services for older people.  Infections are part of the benchmarking targets.  Outcomes and actions are discussed at health and safety meetings, CQI meetings and staff meetings.  If there is an emergent issue, it is acted upon in a timely manner.  Reports are easily accessible to the nurse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with restraint.  Enablers are voluntary. Seven residents have enablers which includes six hospital residents with bedrails.  One resident in the physical disability unit also has enablers in the form of bedrails, a lap belt and a communication board which attaches across a custom-made chair.  Documentation has been completed in relation to consent, assessment, monitoring and care planning for the enablers.  Monitoring of enablers and three-monthly reviews has been completed. The service has addressed this previous audit finding.  Staff interviews and staff records evidence guidance has been given on restraint minimisation, enabler usage and prevention and/or de-escalation techniques including non-violence crisis intervention.  Policies and procedures include definition of restraint and enabler that are congruent with the definition in NZS 8134.0.  Restraint use audit has been conducted and restraint has been discussed as part of CQI meetings.  The general manager for services for older people is the designated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1"/>
        <w:gridCol w:w="1280"/>
        <w:gridCol w:w="5631"/>
        <w:gridCol w:w="3379"/>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internal audits are completed to review the care and services provided. Corrective actions are documented where any shortfalls are identified and have been completed and signed off for the privacy audit, housekeeping and medication storage audits. Corrective actions for medication management, laundry, hand hygiene and the monthly resident file audit have not been completed or signed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(where documented) are not consistently completed or signed off when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corrective actions are completed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encouraged to complete ‘walking in another’s shoes’ dementia course. The education programme includes compulsory and non-compulsory training. Not all required training has been provided in the past two years. Registered nurses complete syringe driver training. Care staff working with YPD residents have been provided with training around non-violence crisis intervention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sessions around the Code of Consumer Rights, cultural safety and pressure injury prevention training for care staff has not been provided in the past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training needs are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of twelve medication charts reviewed were completed correctly. Eleven of twelve electronic medication signing sheets reviewed evidenced that medication had been given as prescribed. Three-monthly reviews of medications are completed by the GP. Not all review changes had been documented. Medication rooms are located in each area. Controlled medication prescribed for one rest home resident who self-administers was not evidenced to be stored as per the Ministry of Health Medicines Care Guides for Residential Aged Care 2011. Gaps were evidenced in the controlled drug register.  Two staff signatures were not evidenced on two recent occasions when controlled medication was being signed out for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i)Continuous oxygen therapy was not prescribed on the medication chart for one rest home resident who was observed receiving continuous oxygen therapy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resident is prescribed continuous oxygen as a regular medication which was not evidenced to have been administered since May 2016. The medication chart had been reviewed by the GP but had not been updated to reflect that the resident no longer required the administration of continuous oxygen therapy;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rest home resident who self-administers medication was evidenced to have Morphine Elixir (controlled medication) stored in a locked drawer in her room.  The resident self-administered Morphine Elixir as required. This was corrected on the day of audit; and  </w:t>
            </w:r>
          </w:p>
          <w:p w:rsidR="00EB7645" w:rsidRPr="00BE00C7" w:rsidP="00BE00C7">
            <w:pPr>
              <w:pStyle w:val="OutcomeDescription"/>
              <w:spacing w:before="120" w:after="120"/>
              <w:rPr>
                <w:rFonts w:cs="Arial"/>
                <w:b w:val="0"/>
                <w:lang w:eastAsia="en-NZ"/>
              </w:rPr>
            </w:pPr>
            <w:r w:rsidRPr="00BE00C7">
              <w:rPr>
                <w:rFonts w:cs="Arial"/>
                <w:b w:val="0"/>
                <w:lang w:eastAsia="en-NZ"/>
              </w:rPr>
              <w:t>iv) A review of the controlled drug register evidenced two signatures were not consistently documented for the signing out of controlled medication to be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that medication is prescribed prior to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medication is administered as prescribed or reviewed by GP if no longer required; </w:t>
            </w:r>
          </w:p>
          <w:p w:rsidR="00EB7645" w:rsidRPr="00BE00C7" w:rsidP="00BE00C7">
            <w:pPr>
              <w:pStyle w:val="OutcomeDescription"/>
              <w:spacing w:before="120" w:after="120"/>
              <w:rPr>
                <w:rFonts w:cs="Arial"/>
                <w:b w:val="0"/>
                <w:lang w:eastAsia="en-NZ"/>
              </w:rPr>
            </w:pPr>
            <w:r w:rsidRPr="00BE00C7">
              <w:rPr>
                <w:rFonts w:cs="Arial"/>
                <w:b w:val="0"/>
                <w:lang w:eastAsia="en-NZ"/>
              </w:rPr>
              <w:t>iii) Ensure controlled medications are stored in accordance with legislative guidelines;</w:t>
            </w:r>
          </w:p>
          <w:p w:rsidR="00EB7645" w:rsidRPr="00BE00C7" w:rsidP="00BE00C7">
            <w:pPr>
              <w:pStyle w:val="OutcomeDescription"/>
              <w:spacing w:before="120" w:after="120"/>
              <w:rPr>
                <w:rFonts w:cs="Arial"/>
                <w:b w:val="0"/>
                <w:lang w:eastAsia="en-NZ"/>
              </w:rPr>
            </w:pPr>
            <w:r w:rsidRPr="00BE00C7">
              <w:rPr>
                <w:rFonts w:cs="Arial"/>
                <w:b w:val="0"/>
                <w:lang w:eastAsia="en-NZ"/>
              </w:rPr>
              <w:t>iv) Ensure that two staff signatures are recorded in the controlled drug register when medication is being signed out for administration.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three-monthly assessment to self-administer medication had been completed for one resident who self-administers medication. The staff verbally check with the resident on each shift that medication has been taken as prescribed.   The electronic medication chart did not document, or alert staff, that the resident self-administers all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medication chart reviewed did not document that the resident self-administers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electronic medication charts document that the resident self-administers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residents care plans included all interventions to support identified needs of residents and direct care and support of staff including activity interventions.  In two hospital files sampled, the care plans did not reflect the resident’s current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i)One hospital resident’s care plan did not reflect the current pressure injury prevention interventions that were being implemented. These included the use of a pressure relieving chair and four-hourly position changes. Changes of position were not evidenced to be documented by either the use of a turning chart, or recorded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resident is prescribed prophylactic antibiotics to prevent recurrent urinary tract infections. This was not documented in the care plan. The resident has type II diabetes. The care plan documented that BSL recordings were to be managed within the target range, however, no target range to guide staff was documented in the care plan.  The management of hypo/hyperglycaemia was not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care plans reflect the management of all care requirements and that appropriate interventions to meet resident needs are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treatment plans were fully completed for four of eight wounds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i)Four of eight wound assessments were not fully completed to include the size of wound or frequency of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had four wounds documented on one wound assessment.  The treatment plan did not identify the treatment required for each separate wound.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wound assessments are fully completed and that a treatment plan is completed for each wound.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(South Canterbury) Incorporated - Margaret Wilson Complex</w:t>
    </w:r>
    <w:bookmarkEnd w:id="58"/>
    <w:r>
      <w:rPr>
        <w:rFonts w:cs="Arial"/>
        <w:sz w:val="16"/>
        <w:szCs w:val="20"/>
      </w:rPr>
      <w:tab/>
      <w:t xml:space="preserve">Date of Audit: </w:t>
    </w:r>
    <w:bookmarkStart w:id="59" w:name="AuditStartDate1"/>
    <w:r>
      <w:rPr>
        <w:rFonts w:cs="Arial"/>
        <w:sz w:val="16"/>
        <w:szCs w:val="20"/>
      </w:rPr>
      <w:t>23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