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Coombrae Elderly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Coombrae Elderly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September 2016</w:t>
      </w:r>
      <w:bookmarkEnd w:id="7"/>
      <w:r w:rsidRPr="009418D4">
        <w:rPr>
          <w:rFonts w:cs="Arial"/>
        </w:rPr>
        <w:tab/>
        <w:t xml:space="preserve">End date: </w:t>
      </w:r>
      <w:bookmarkStart w:id="8" w:name="AuditEndDate"/>
      <w:r w:rsidR="00A4268A">
        <w:rPr>
          <w:rFonts w:cs="Arial"/>
        </w:rPr>
        <w:t>23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PSC Coombrae is owned by Presbyterian Support Central and provides rest home and dementia level care for up to 44 residents.  On the day of the audit there were 42 residents.  The service is overseen by a facility manager, who was a registered nurse and well qualified and experienced for the role. The facility manager and clinical nurse manager is supported by staff and the regional operations manager.  Residents and family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has identified the following areas requiring improvement; quality management systems, wound care documentation, and completion of short-term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Policies are implemented to support residents’ rights, communication and complaints management.  Care plans accommodate the choices of residents and/or their family/whānau.  Staff and residents interviewed were familiar with the complaints management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Presbyterian Support Central quality and risk management system is documented.  Meetings are held to discuss quality and risk management processes.  Residents/family meetings have been held and residents and families are surveyed regularly.  Health and safety policies, systems and processes are implemented to manage risk.  Incidents and accidents are documented and benchmarked.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takes primary responsibility for managing entry to the service with assistance from the registered nurses.  Comprehensive service information is available.  Initial assessments are completed by a registered nurse, including InterRAI assessments.  The registered nurses complete care plans and evaluations within the required timeframes.  Care plans are based on the InterRAI outcomes and other assessments.  They are clearly written and healthcare assistants report they are easy to follow.  Residents interviewed confirmed they were involved in the care planning and review process.  Each resident has access to an individual and group activities programme.  The group programme is varied and interesting.  Medicines are stored and managed appropriately in line with legislation and guidelines.  General practitioners review residents at least three monthly or more frequently if needed.  Meals are prepared on site.  The menu is varied and appropriate and has been reviewed by a dietitian.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PSC Coombrae is set within attractive grounds.  The buildings have a current building warrant of fitness and a fire evacuation plan.  All rooms are single, personalised and have a hand basin.  The environment is warm and comfortable.  There is adequate room for residents to move freely about their bedrooms and communal areas using mobility aids.  Communal areas are spacious and well utilised for group and individual activity.  The dining and lounge seating placement encourages social interaction within the rest home.  There are communal and dining areas in the dementia care unit appropriate to meet the individual needs.  There is a secure outdoor walking path and garden area for the dementia area.  Other outdoor areas are safe and accessible for the rest home residents.  There is adequate equipment for the safe delivery of care.  </w:t>
      </w:r>
    </w:p>
    <w:p w:rsidRPr="00A4268A">
      <w:pPr>
        <w:spacing w:before="240" w:line="276" w:lineRule="auto"/>
        <w:rPr>
          <w:rFonts w:eastAsia="Calibri"/>
        </w:rPr>
      </w:pPr>
      <w:r w:rsidRPr="00A4268A">
        <w:rPr>
          <w:rFonts w:eastAsia="Calibri"/>
        </w:rPr>
        <w:t>All equipment is well maintained and on a planned schedule.  All chemicals are stored securely.  Laundry and cleaning services are monitored.  There are emergency policies and procedures in place to guide staff should an emergency or civil defence event occur.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no residents with restraint or enablers at PSC Coombrae Elderly Care.  There is a restraint coordinator for the service, who is the clinical nurse manager.  Restraint minimisation education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5"/>
        <w:gridCol w:w="1280"/>
        <w:gridCol w:w="94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has been incorporated into care.  Discussions with staff (one facility manager, one clinical nurse manager, one registered nurse, two recreational officers, and four healthcare assistants) identified their familiarity with the Code of Rights.  Interviews with ten rest home residents and three families (two dementia and one rest home) confirmed that the service functions in a way that complies with the Code of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Seven resident files sampled demonstrated that advanced directives are signed for separately.  There is evidence of discussion with family when the GP has completed a clinically indicated not for resuscitation order.  Healthcare assistants and the registered nurse interviewed confirmed verbal consent is obtained when delivering care.  Family members are involved in decisions that affect their relative’s lives.  All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Staff receive training on advocacy.  Information about accessing advocacy services information is available in the entrance foyer.  The information pack provided to residents at the time of entry to the service also provides residents and family/whānau with advocacy information.  Interviews with healthcare assistants, residents and relatives informed they were aware of advocacy and how to access an advocate.  The bi-monthly resident meetings are chaired by an independent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confirmed relatives and friends can visit at any time and are encouraged to be involved with the service and care.  Maintaining links with the community is encouraged.  Activities programmes include opportunities to attend events outside of the facility.  Discussion with staff, family and residents confirm residents are supported and encouraged to remain involved in the community and external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residents and family members.  The facility manager leads the investigation and management of complaints (verbal and written).  A complaints register records activity.  Complaint forms are visible around the facility.  There have been four documented complaints made since the last audit. Three of these complaints relate to the behaviour of one resident.  This resident has recently transferred to another facility.  All complaints have been appropriately investigated and resolved to the satisfaction of the complainants.  One matter had been referred to a Health and Disability Advocate and the matter has now been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could describe the complaints management process and the process to follow that aligned with the PSC complaints management policy.  Discussion with residents and relatives confirmed they were aware of how to make a complaint.  A copy of the complaints procedure is provided to residents within the information pack at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are available in the front entrance of the facility.  Code of Rights posters are on the walls in the hallways.  Client right to access advocacy services is identified for residents and advocacy service leaflets are available at the front entrance foyer.  Information is also given to next of kin or enduring power of attorney (EPOA) to read to and discuss with the resident in private.  Residents and families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the facility confirms there is the ability to support personal privacy for residents.  Staff were observed to be respectful of residents’ personal privacy by knocking on doors prior to entering resident rooms during the audit.  Residents and family interviewed confirmed that staff are respectful, caring and maintain their dignity, independence and privacy at all times.  A review of documentation, interviews with residents, family and staff highlighted how they demonstrate their commitment to maximising resident independence and make service improvements that reflect the wishes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The service has access to a cultural advisor with links to local Iwi.  Specialist advice is available and sought when necessary.  The service's philosophy results in each person's cultural needs being considered individually.  On the day of the audit, there were no residents who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facility manager and clinical nurse manager along with the resident and family/whānau complete the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coercion, exploitation and harassment policies and procedures are in place.  Code of conduct and position descriptions outline staff responsibilities in terms of providing a discrimination free environment.  The Code of Rights is included in orientation and in-service training.  Interviews with staff confirm their understanding of discrimination and exploitation and could describe how professional boundaries are maintained.  Discussions with residents identify that privacy is ensured.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The resident satisfaction survey reflects high levels of satisfaction with the services that are provided.  Residents interviewed spoke very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two family members stated they were given information about the service and procedures.  Residents interviewed stated they were welcomed on entry and were given time and explanation about the services and procedures.  Accident/incident forms have a section to indicate if family have been informed (or not) of an accident/incident.  Eight incident forms reviewed for September and August 2016 identified family were notified following a resident incident (link 1.3.8.3).  Interviews with healthcare assistants confirmed that family are kept informed.  The facility and clinical nurse manager have an open-door policy and residents and family interviewed report that they find the managers very approachable.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Coombrae is part of the Presbyterian Support Central organisation (PSC).  The service provides rest home and dementia level of care for up to 44 residents.  On the day of the audit there were 42 residents (31 rest home residents [full occupancy] and 11 residents in the 13-bed secure dementia unit).  There were no residents on respite. All residents are admitted under the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non clinical (although was a registered nurse), and has been in the role for four years.  The facility manager is supported by a clinical nurse manager who has been in the role for 5.5 years, two registered nurses and a northern regional manager (non-clinical).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Coombrae has a documented mission statement, vision, values and goals included in the 2016-2017 business/quality plan. The 2015-2016 business goals had been reviewed.   The philosophy of the service also includes providing safe and therapeutic care for residents with dementia that enhances their quality of life and minimises risks associated with their confused states.  The facility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facility manager, the clinical nurse manager undertakes the role with the support of the RNs, care staff and the PSC regional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quality and risk management system.  PSC has an overall Quality Monitoring Programme (QMP) that is part of the quality programme and includes internal benchmarking with the other PSC sites.  Annual resident and relative satisfaction surveys are completed and results collated as per company schedule.  Regular meetings are held that involve all staff.  Meeting minutes’ reviewed evidence discussion around the results of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accident/incident/reports are completed by the facility manager.  There is an online database for recording accidents and incidents with monthly reports to the PSC clinical director. The 2016 meeting schedule includes senior leadership meetings (quality, accidents/incidents and infection control), clinical and staff meetings and resident meetings.  Accident/incident, infection control and quality data is collated monthly and reported to head office.  There are shortfalls around the analysis of quality data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which are developed and reviewed at head office.  Staff read and sign to declare awareness of new/reviewed policies and procedures.  There is an implemented risk management plan, and health and safety policies and procedures in place including accident and hazard management.  The service has a health and safety management system and this includes four monthly health and safety meetings.  There is a current the health and safety officer.  Emergency plans ensure appropriate response in an emergency.  There was a current hazard register for the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The service collects data relating to adverse, unplanned and untoward events.  This includes the collection of incident and accident information.  The data is linked to the internal PSC benchmarking programme.  A monthly incident/accident report is completed, however this does not include an analysis of data collected (link 1.2.3.6). Follow-up assessments by a registered nurse did not always include neurological observations for those residents that had an unwitnessed fall or hit their head or the documentation of a short-term care plan (link 1.3.8.3).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confirms that there is an awareness of the requirement to notify relevant authorities in relation to essential notifications.  Seven section 31 incident notification forms were completed (all sighted) since the last audit. The appropriate action has been taken in relation to the matters outlined in the mandatory notifications that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registered nurses and general practitioners, and other registered health professionals are kept.  Seven staff files were reviewed (one clinical nurse manager, one registered nurse, two healthcare assistants, one cook, one recreational officer, one cleaner).  All staff files reviewed including the appropriate employment and recruitment documents including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Care staff stated that they believed new staff were adequately orientated to the service.  A training programme is being implemented that includes eight hours of annual education.  The registered nurses and care staff attend PSC professional study days, which cover the mandatory education requirements and other clinical requirements.  Attendance is monitored.  The staff training plan includes regular sessions occurring as per facility calendar.  There are seven caregivers who work in the dementia unit.  Six have completed the required dementia standards and one staff member, who has not yet worked for 12 months is currently completing the required papers.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in place that provides sufficient and appropriate coverage for the effective delivery of care and support.  The facility manager works 32 hours per week and is on call 24/7.  The clinical nurse manager works full time Monday to Friday and is also on call 24/7. Two RNs are employed to cover the morning shifts 7 days per week.  Care staff interviewed report adequate staff cover.  Residents interviewed advised that there are sufficient staff on duty at any one time and that staff are prompt to answer call bells and attend to resident’s needs.  There are dedicated cleaning, laundry staff and food services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facility and clinical nurse manager screens all potential residents prior to entry.  Residents and relatives interviewed confirmed they received information prior to admission and had the opportunity to discuss the admission agreement with the manager and clinical nurse manager.  The admission agreement form in use aligns with the requirements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(pink)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Resident’s medicines are stored securely in the medication room/cupboard.  Medication administration practice complies with the medication management policy for the medication round sighted.  The service uses an electronic medication management system.  There was evidence of three monthly reviews by the GP.  Registered nurses and healthcare assistants administer medicines.  All staff that administer medicines are competent and have received medication management training.  The facility uses a pharmacy blister-packed medication management system for the packaging of all tablets.  The RN on duty reconciles the delivery and documents this.  There were no residents self-administering medication on the day of audit.  There are no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are prepared and cooked at PSC Coombrae.  There is a five weekly seasonal menu which has been reviewed by a dietitian.  Dietary needs are known with individual likes and dislikes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where required.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chiller temperatures are taken and recorded daily.  Food temperatures when cooked and prior to the food being served to the residents at PSC Coombrae are recorded. Food is transported to the dementia unit by use of a heated Bain Marie.  All food services staff have attended food safety and hygiene and chemical safety education.  Extra food, sandwiches, puddings, fruit, smoothies, cakes and biscuits were observed prepared and were available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accepting/declining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 monthly.  The InterRAI assessment tool is implemented.  InterRAI assessments have been completed for all residents.  Care plans sampled were developed on the basis of these assessments. Two of the three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The InterRAI assessment process informs the development of the resident’s care plan.  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(HCAs), follow the care plan and report progress against the care plan each shift at handover.  If external nursing or allied health advice is required, the RNs will initiate a referral (eg, to the district nurse or wound care specialist nurse).  If external medical advice is required, this is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were not fully completed for all wounds.  On the day of audit there were five wounds. These included two chronic leg ulcers, one skin lesion, and two skin tears.  Not all wounds documentation reflected that wounds have been reviewed in required timeframes.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Care plan interventions demonstrate interventions to meet residents’ needs.  There was evidence of pressure injury prevention interventions such as resident attendance at exercise programme, use of pressure relieving cushions, daily monitoring of skin,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follows the Eden principles, demonstrating a commitment to maximising resident independence and making service improvements that reflect the wishes of residents.  PSC Coombrae activities programme follows the Eden philosophy and is resident focused.  The programme meets the recreational needs of the residents and reflects normal patterns of life.  The programme is supported by a team of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recreational officers who deliver the activities programme, seven days per week. The activity programme is planned around meaningful everyday activities such as gardening, baking, reminiscing, feeding birds, dusting, tidying drawers and making own beds (if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input into review of the programme via the resident survey and this feedback is considered in the development of the resident’s activity programme. The activity programme is developed a week in advance.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its own van which is used for outings and transporting residents to attend events in the local community.  PSC Coombrae has links with the local preschool, Churches, Idea Services and Canine Friends groups within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The activities documentation in the resident files sampled reflects the specific requirements of each resident and includes activities which can be used to distract behaviours.  Residents interviewed evidenced that the activity programme had a focus on maintaining independence and reducing boredom.  Residents in the dementia unit were observed engaging in washing dishes, helping set tables for meals, helping with feeding the birds and participating in games, quizzes and crafts.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 monthly.  Activity participation was noted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There was at least a three monthly review by the GP.  Reassessments have been completed using InterRAI LTCF for all residents who have had a significant change in health status.  Seven care plans reviewed included documented care plan evaluations.  The RN completing the plan signs care plan reviews.  Not all changes in health were addressed by the use of a short-term care plan or the long-term care plan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on 8 July 2017.  PSC Coombrae has a 31-bed rest home area divided into four wings; Rata, Rimu, Nikau and Nikau extension and a 13-bed dementia care unit Rata Haven.  Each rest home wing has a small kitchenette.  Rata Haven has an open plan dining room area and separate lounge.  There is a large recreational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person employed to address the reactive and planned maintenance programme.  A number of maintenance issues were noted at audit and a corrective action plan is in place to address these.  All medical and electrical equipment was recently serviced and/or calibrated.  Hot water temperatures are monitored and managed within 43 - 45 degrees Celsius.  The facility van with hoist has a current warrant of fitness and registration.  The facility has sufficient space for residents to mobilise using mobility aids.  External areas are well maintained.  Rata Haven dementia care unit has safe outdoor areas, seating and shade, raised gardens, chook run, and a circular walking path.  Rest home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One rest home bedroom has a full ensuite and one has a toilet only.  All other rooms are single with hand basins.  There are adequate numbers of communal toilets/showers in each wing.  There are vacant/occupied slide signs.  All bedrooms in the dementia unit have hand basins.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a large lounge, conservatory, dining area and recreational room with seating placed appropriately to allow for group and individual activities to occur. There are other smaller lounges available.  </w:t>
            </w:r>
          </w:p>
          <w:p w:rsidR="00EB7645" w:rsidRPr="00BE00C7" w:rsidP="00BE00C7">
            <w:pPr>
              <w:pStyle w:val="OutcomeDescription"/>
              <w:spacing w:before="120" w:after="120"/>
              <w:rPr>
                <w:rFonts w:cs="Arial"/>
                <w:b w:val="0"/>
                <w:lang w:eastAsia="en-NZ"/>
              </w:rPr>
            </w:pPr>
            <w:r w:rsidRPr="00BE00C7">
              <w:rPr>
                <w:rFonts w:cs="Arial"/>
                <w:b w:val="0"/>
                <w:lang w:eastAsia="en-NZ"/>
              </w:rPr>
              <w:t>The dining room in the dementia unit is open plan with the kitchenette and nurses station in close proximity which allows observation of communal areas.  There is a separate lounge in Rata Haven which allows for separate group or individual activities to occur.  Residents interviewed (ten rest home) were happy with their bedroom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clean the facility.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Dedicated laundry staff complete all laundry on site in an appropriately appointed laundry.  The laundry operates daily from 0800 to 14:30.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The facility is well prepared for civil emergencies and has civil defence kits (readily accessible) that are checked monthly.  There are adequate supplies in the event of a civil defence emergency including food, water, blankets, torches, batteries and radio.  </w:t>
            </w:r>
          </w:p>
          <w:p w:rsidR="00EB7645" w:rsidRPr="00BE00C7" w:rsidP="00BE00C7">
            <w:pPr>
              <w:pStyle w:val="OutcomeDescription"/>
              <w:spacing w:before="120" w:after="120"/>
              <w:rPr>
                <w:rFonts w:cs="Arial"/>
                <w:b w:val="0"/>
                <w:lang w:eastAsia="en-NZ"/>
              </w:rPr>
            </w:pPr>
            <w:r w:rsidRPr="00BE00C7">
              <w:rPr>
                <w:rFonts w:cs="Arial"/>
                <w:b w:val="0"/>
                <w:lang w:eastAsia="en-NZ"/>
              </w:rPr>
              <w:t>The backup generator is run for half an hour monthly.  Emergency lighting is checked.  There is a barbeque and gas bottles for alternative cooking source. The staff interviewed were able to describe the emergency management plan and how to implement this.  Fire training and security situations are part of orientation of new staff.  A minimum of one person trained in first aid is available at all times.  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In June 2016 PSC introduced a new software programme to assist with benchmarking of data.  Summaries of these results are fed back through the senior management meeting and staff meetings.  The scope of the infection control programme policy and infection control programme description is available.  There is an implemented infection control programme that is linked into the risk management system.  The infection control coordinator (clinical manager) provides feedback at staff meetings.  Spot audits have been conducted and include hand hygiene and infection control practices.  Education is provided for all new staff on orientation.</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are responsible for the development of the infection control programme and its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the small size of the facility, infection control is discussed at staff meetings. The staff meetings are attended by a cross-section of staff from all areas of the service including; management, clinical, kitchen, cleaning, and laundry.  The service also has access to the PSC clinical director and nurse consultant, the DHB infection control nurse specialist, public health, and the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(clinical manager) has completed a level-7 qualification in infection control.  The IC coordinator has maintained skills and knowledge of infection control practice through attendance at the annual PSC infection control nurse peer support day.  The infection control coordinator also has access to the microbiologist, pharmacist, DHB infection control nurse, Public Health, Med Lab, GPs, and expertise within the organisation and external infection control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infection control orientation to all new staff.  Infection control education is part of the professional nurses and healthcare assistants study days that are held annually.  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at PSC Coombrae.  Internal infection control audits also assist the service in evaluating infection control needs.  There is liaison with the GP and laboratory staff that advise and provide feedback/information to the service.  The GP and the service monitor the use of antibiotics.  Infection control data is collated monthly and reported to the senior management and staff meetings.  The meetings include the monthly infection control report.  Individual resident infection control summaries are maintained.  All infections are documented on the infection monthly on-line register.  The surveillance of infection data assists in evaluating compliance with infection control practices.  Short-term care plans were evidenced as completed for infections.  There was an outbreak in April 2016 which was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policies and procedures in place, should restraints or enablers be required.  On the day of audit there were no restraints or enablers in use.  The clinical nurse manager is the restraint coordinator.  Restraint minimisation education is included in the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6"/>
        <w:gridCol w:w="1280"/>
        <w:gridCol w:w="4429"/>
        <w:gridCol w:w="3943"/>
        <w:gridCol w:w="20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indicator data is collected for (but not limited to) behaviours, falls, pressure injuries, and skin tears.  Quality data captured is then entered into the PSC computer-based Quality Monitoring Programme.  The data is discussed at the staff meetings.  There is no documented evidence the data entered is trended, analysed or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indicator data is collected but there is no documented evidence to identify this is then analysed, trended or evaluated.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clinical indicator data is documented to reflect it is analysed, trended and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captures quality data. Internal audits are completed and corrective actions are established for shortfalls.  Where areas requiring improvements were noted, corrective action plans were not consistently evidenced.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corrective action plans were sighted or remedial actions evidenced where clinical indicator data, identified areas requiring improvement. The areas that were above an acceptable benchmark included falls, and behaviours.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corrective actions are documented and implemented where areas are identified requiring improvement.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all wounds, however in two of five wounds reviewed not all wound care documentation was fully completed and dressing changes were not evidenced to be occurring in accordance with the prescribed timeframe.</w:t>
            </w:r>
          </w:p>
          <w:p w:rsidR="00EB7645" w:rsidRPr="00BE00C7" w:rsidP="00BE00C7">
            <w:pPr>
              <w:pStyle w:val="OutcomeDescription"/>
              <w:spacing w:before="120" w:after="120"/>
              <w:rPr>
                <w:rFonts w:cs="Arial"/>
                <w:b w:val="0"/>
                <w:lang w:eastAsia="en-NZ"/>
              </w:rPr>
            </w:pPr>
            <w:r w:rsidRPr="00BE00C7">
              <w:rPr>
                <w:rFonts w:cs="Arial"/>
                <w:b w:val="0"/>
                <w:lang w:eastAsia="en-NZ"/>
              </w:rPr>
              <w:t>Follow-up assessments by a registered nurse did not always include neurological observations for those residents that had an unwitnessed fall or hit their head.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five wounds did not evidence that dressing changes had been completed within the prescribed timeframe.</w:t>
            </w:r>
          </w:p>
          <w:p w:rsidR="00EB7645" w:rsidRPr="00BE00C7" w:rsidP="00BE00C7">
            <w:pPr>
              <w:pStyle w:val="OutcomeDescription"/>
              <w:spacing w:before="120" w:after="120"/>
              <w:rPr>
                <w:rFonts w:cs="Arial"/>
                <w:b w:val="0"/>
                <w:lang w:eastAsia="en-NZ"/>
              </w:rPr>
            </w:pPr>
            <w:r w:rsidRPr="00BE00C7">
              <w:rPr>
                <w:rFonts w:cs="Arial"/>
                <w:b w:val="0"/>
                <w:lang w:eastAsia="en-NZ"/>
              </w:rPr>
              <w:t>(ii) Two of five wounds did not fully document the wound healing process with each dressing change.</w:t>
            </w:r>
          </w:p>
          <w:p w:rsidR="00EB7645" w:rsidRPr="00BE00C7" w:rsidP="00BE00C7">
            <w:pPr>
              <w:pStyle w:val="OutcomeDescription"/>
              <w:spacing w:before="120" w:after="120"/>
              <w:rPr>
                <w:rFonts w:cs="Arial"/>
                <w:b w:val="0"/>
                <w:lang w:eastAsia="en-NZ"/>
              </w:rPr>
            </w:pPr>
            <w:r w:rsidRPr="00BE00C7">
              <w:rPr>
                <w:rFonts w:cs="Arial"/>
                <w:b w:val="0"/>
                <w:lang w:eastAsia="en-NZ"/>
              </w:rPr>
              <w:t>(iii) Neurological observations were not evidenced being consistently recorded as per policy for a dementia resident following two unwitnessed falls, one resulting in a laceration to the resident’s forehead.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wound dressings are completed within the prescribed timeframe; and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RN assessments document progress around wound healing with each dressing change.</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neurological observations are recorded within the timeframes specified, as per policy for falls resulting in head injury or suspected head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three dementia and one of four rest home files reviewed did not include updated interventions when there was an acute change in the resident’s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dementia resident’s file evidenced a recent change in continence needs with frequent episodes of incontinence documented in progress notes, however a follow-up assessment by an RN was not evidenced to have been completed or the care plan updated to reflect the change in health status.</w:t>
            </w:r>
          </w:p>
          <w:p w:rsidR="00EB7645" w:rsidRPr="00BE00C7" w:rsidP="00BE00C7">
            <w:pPr>
              <w:pStyle w:val="OutcomeDescription"/>
              <w:spacing w:before="120" w:after="120"/>
              <w:rPr>
                <w:rFonts w:cs="Arial"/>
                <w:b w:val="0"/>
                <w:lang w:eastAsia="en-NZ"/>
              </w:rPr>
            </w:pPr>
            <w:r w:rsidRPr="00BE00C7">
              <w:rPr>
                <w:rFonts w:cs="Arial"/>
                <w:b w:val="0"/>
                <w:lang w:eastAsia="en-NZ"/>
              </w:rPr>
              <w:t>(ii)  No short-term care plan was evidenced completed for a rest home resident who had returned from hospital following an incident, which required sutures to a large skin tear.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 (ii)  Ensure care plans are updated or short-term care plans developed to address any acute changes in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Coombrae Elderly Care</w:t>
    </w:r>
    <w:bookmarkEnd w:id="58"/>
    <w:r>
      <w:rPr>
        <w:rFonts w:cs="Arial"/>
        <w:sz w:val="16"/>
        <w:szCs w:val="20"/>
      </w:rPr>
      <w:tab/>
      <w:t xml:space="preserve">Date of Audit: </w:t>
    </w:r>
    <w:bookmarkStart w:id="59" w:name="AuditStartDate1"/>
    <w:r>
      <w:rPr>
        <w:rFonts w:cs="Arial"/>
        <w:sz w:val="16"/>
        <w:szCs w:val="20"/>
      </w:rPr>
      <w:t>22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