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Dixon House Trust Board - Dixon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Dixon House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Dixon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2016</w:t>
      </w:r>
      <w:bookmarkEnd w:id="7"/>
      <w:r w:rsidRPr="009418D4">
        <w:rPr>
          <w:rFonts w:cs="Arial"/>
        </w:rPr>
        <w:tab/>
        <w:t xml:space="preserve">End date: </w:t>
      </w:r>
      <w:bookmarkStart w:id="8" w:name="AuditEndDate"/>
      <w:r w:rsidR="00A4268A">
        <w:rPr>
          <w:rFonts w:cs="Arial"/>
        </w:rPr>
        <w:t>18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Dixon House is governed by the Greymouth Combined Churches Community Trust Board.  The service is certified to provide rest home level care for up to 37 residents with 37 residents accommodated on the days of audit.  The facility manager is a registered nurse who has been in the role for four years. Family and residents interviewed spoke positively about the care and support provided.</w:t>
      </w:r>
    </w:p>
    <w:p w:rsidRPr="00A4268A">
      <w:pPr>
        <w:spacing w:before="240" w:line="276" w:lineRule="auto"/>
        <w:rPr>
          <w:rFonts w:eastAsia="Calibri"/>
        </w:rPr>
      </w:pPr>
      <w:r w:rsidRPr="00A4268A">
        <w:rPr>
          <w:rFonts w:eastAsia="Calibri"/>
        </w:rPr>
        <w:t xml:space="preserve">The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  The manager is supported by registered and enrolled nurses and care staff.  </w:t>
      </w:r>
    </w:p>
    <w:p w:rsidRPr="00A4268A">
      <w:pPr>
        <w:spacing w:before="240" w:line="276" w:lineRule="auto"/>
        <w:rPr>
          <w:rFonts w:eastAsia="Calibri"/>
        </w:rPr>
      </w:pPr>
      <w:r w:rsidRPr="00A4268A">
        <w:rPr>
          <w:rFonts w:eastAsia="Calibri"/>
        </w:rPr>
        <w:t>The certification audit identified that improvements are required in relation to corrective actions, analysis of quality data, incident reports, staff files, care planning, care interventions, care plan reviews, medication management, and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Dixon House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Dixon House has a document quality and risk management system.  Quality data is gathered on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and processes available.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provided to residents and family on admission to services.  Resident records reviewed provide evidence that the registered nurses utilise InterRAI and paper based assessments to assess residents.  Care plans are developed in consultation with the resident and/or family.  Care plans demonstrate service integration and are reviewed at least six 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and medications are recorded using paper based system.  All staff responsible for administration of medicines completes education and medicines competencies.  The medicines records reviewed include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 xml:space="preserve">A varied activities programme is in place for the rest home and dementia residents.  The programme includes community visitors and outings, entertainment and activities that meet the recreational preferences and abilities of the residents.  </w:t>
      </w:r>
    </w:p>
    <w:p w:rsidRPr="00A4268A" w:rsidP="00621629">
      <w:pPr>
        <w:spacing w:before="240" w:line="276" w:lineRule="auto"/>
        <w:rPr>
          <w:rFonts w:eastAsia="Calibri"/>
        </w:rPr>
      </w:pPr>
      <w:r w:rsidRPr="00A4268A">
        <w:rPr>
          <w:rFonts w:eastAsia="Calibri"/>
        </w:rPr>
        <w:t xml:space="preserve">The menu is designed and reviewed by a registered dietitian and all meals are cooked on site.  Residents' individual needs are identified.  There is a process in place to ensure changes to residents’ dietary needs are communicated to the kitchen.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Furniture and fittings are selected with consideration to residents’ abilities and functioning.  Residents can and do bring in their own furnishings for their rooms.  The service has policies and procedures for management of waste and hazardous substances and incidents are reported on in a timely manner.  Staff receive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There are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manager.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There is a suite of infection control policies and guidelines that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Dixon House has policies and procedures that align with the requirements of the Code of Health and Disability Services Consumer Rights (the Code).  Four caregivers, an activities person, two registered nurses (RN), one enrolled nurse and the manager were able to describe how they incorporate resident choice into their activities of daily living.  The service actively encourages residents to have choices and this includes voluntary participation in daily activities as confirmed on interview with seven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seven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to residents in the service entrance.  Interviews with residents and family confirmed they were aware of their right to access advocacy.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Staff training in code of rights and advocacy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which aligns with Right 10 of the Code.  The manager leads the investigation of concerns/complaints.  Complaints forms are visible and available for relatives/residents.  A complaints procedure is provided to residents within the information pack at entry.  The complaints file was reviewed. There is an up-to-date complaints register.  Two complaints from 2016 were reviewed and all document that appropriate and timely responses have been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Residents and three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choices as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stored securely.  There are clear instructions provided to residents on entry regarding responsibilities of personal belonging in their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a cultural safety policy that includes a description of how they will achieve the requirements set out in A3.1 (a) to (e).  Residents who identify as Māori have this identified in the care plan.  Linkages with Māori community groups are available and accessed as required.  Staff receive education on cultural awareness during their induction to the service and as a regular in-service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included the residents’ values, spiritual and cultural beliefs.  Discussion with family and residents confirm values and beliefs are considered.  Residents are supported to attend church services of their choice. Spiritual care is a central component of the care provided at Dixon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are in place for all roles within the service.  The RNs and allied health professionals practice within their scope of practice.  Management and staff meetings include discussions on professional boundaries and concerns/complaints as they arise.  Interviews with the registered nurses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meet the health and disability safety sector standards.  Staff state they are made aware of new/reviewed policies.  Staff report the manager is approachable and supportive.  Allied health professionals are available to provide input into resident care.  Staff complete relevant workplace competencies.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staff and relatives interviewed confirm family are kept informed.  Relatives stated they are notified promptly of any incidents/accidents and the manager is very approachable.  Resident meetings are held. Newsletters from the service ensure that families are updated regarding service changes.</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is owned and operated by a combined churches charitable trust.  The Dixon House manager reports monthly to the trust board.  The manager is a registered nurse and has been in the role for over four years.  Dixon House is certified to provide rest home level care to 37 residents with 37 residents accommodated on the day of audit.  All residents are under the age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also contracted by the local DHB to provide care for up to six residents with diagnoses of dementia.  There are currently four residents under this contract at Dixon House.  These residents are assessed as rest home level care with DHB funding for extra care staff hours.  This includes one staff member allocated to provide care and activities for these four residents during the afternoon/evening period (link high risk finding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Dixon House trust board has a constitution for organisational governance and direction with a business plan in place.  The service has a quality management system with associated policies and procedures in place and with assistance provided from an external consultant.  There is a quality and risk management plan in place.  The quality plan includes objectives, policies and procedures, implementation, monitoring, quality risk, and action plan.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coordinator (registered nurse) provides cover in the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has a quality and risk programme which has been provided, and is updated, by an external consultant.  A quality coordinator/registered nurse is responsible for the quality programme, along with the manager.  Quality activities include internal audits, resident and family surveys and collection of infection rates, and incident and accident data.  Not all information collected has been analysed or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available which have been provided by the external consultant.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and a quality and risk management plan for 2016 in place.  Annual review of the 2015 programme has been completed.  Progress with the quality and risk management programme is monitored through the quality assurance meeting. Staff have access to meeting minutes.  Staff and resident meetings are held.  Not all minutes of meetings include actions to achieve compliance where relevant.  Discussions with the manager and staff confirm their involvement in the quality programme.  There is an implemented internal audit schedule in place for 2016.  The resident and relative survey has been completed in October 2016. Results from these are in the process of being collated.</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system in place including policies to guide practice.  The quality coordinator and a designated caregiver are responsible for health and safety.  There is a current hazard register.  Staff confirm they are kept informed on health and safety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accident/incident forms for August and September 2016 were sampled.  Not all incident forms documented RN review of the incident and opportunities to minimise further risk (also link to 1.3.6.1 for neurological observations and issues identified in progress notes).  Accidents/incidents were recorded in the resident progress notes, and changes made to care plan documentation as needed.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contained all relevant employment documentation for a cook, one registered nurse, one enrolled nurse, an activities person and two caregivers.  Current practising certificates were sighted for the registered nurses.  The service has an orientation programme in place that provides new staff with relevant information for safe work practice.  Staff interviewed believed new staff were adequately orientated to the service on employment.  Not all staff files reviewed evidenced completed employment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The programme provided is comprehensive. Two registered nurses have completed InterRAI training.  Clinical staff complete competencies relevant to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manager is on-site full time and available after hours.  There is either a registered or enrolled nurse on every shift.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to guide resident admissions.  The service communicates with needs assessors and other appropriate agencies prior to the resident’s admission regarding the level of care requirements.  There is an information pack provided to all residents and their families on services available.  Residents and/or family/whānau are provided with associated information (eg, information on their rights, the Code, complaints management, advocacy, and the admission agreement).  Family members and residents interviewed stated that they had received the information pack and had received sufficient information prior to and on entry to the service.  Signed admission agreements were evidenced on seven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 and discharge procedures.  The procedures include a transfer/discharge form and the completed form is placed on file and retained as part of the archived resident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a four-weekly blister pack system for tablets and other medicines are pharmacy packaged.  All medicines are stored securely when not in use.  The medication fridge had temperatures recorded daily and these are within acceptable ranges, however out of date medication was stored in the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verification check is completed by the RN against the resident’s medicine order when new medicines are supplied from the pharmacy.  Medication orders include indications for use of ‘as required’ medicines.  Education on medication management has occurred with competencies conducted for the registered nurse and senior caregivers with medication administration responsibilities.  Administration sheets are appropriately signed.  Fourteen medication charts reviewed (including four for resident at rest home level with additional dementia funding) identified that the GP had seen the resident three monthly and the medication chart was signed each time a medicine was administered by staff.  One RN was observed administering medications and followed correct procedures.  One resident self-administers medicines.  They have access to secure storage in their rooms and the GP has reviewed the competency three monthly.  Residents/relatives interviewed stated they are kept well informed of any changes to their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Dixon House has a fully equipped kitchen and all food is cooked on site.  There are three cooks and two kitchen hands.  All kitchen staff have completed food safety training.  There is a four-weekly rotating menu.  The menu is reviewed by a dietitian annually.  A food services manual is available that ensures that all stages of food delivery to the resident are documented and comply with standards, legislation and guidelines.  All fridges and freezer temperatures are recorded daily on the recording sheet sighted.  Food temperatures are recorded daily.  All food is served hot directly from the oven and oven top from food preparation containers to residents in the dining room or to their rooms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 satisfaction with food choices, and meals are well presented.  Relatives interviewed report that their relatives are very happy with the meals.  There is homemade baking for morning and afternoon tea.  Alternative meals are offered as required and individual resident likes and dislikes are noted on a noticeboard in the kitchen.  There is a cleaning schedule, which is signed by member of staff completing cleaning tasks.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process for declining entry should this be necessary.  This includes informing persons and referrers (as applicable) the reasons why the service has been declined.  Management have not had to decline entry to prospective rest home residents.  The reason for declining service entry to potential residents would be recorded and communicated to the potential resident/family/whānau and alternative options suggested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and assessment summaries were evident in printed format in all files.  Comprehensive paper based assessments were reflected into all seven resident files reviewed (link to 1.3.5.2 for InterRAI assessments and lack of links to care plans).  All resident files included an up-to-date InterRAI assessment.  Pain assessments were evidenced as completed with ongoing monitoring recorded, for residents requiring administration of controlled medication as part of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utilise a range of paper based assessments to develop the long-term care plans.  All residents had an InterRAI assessment.  Resident long-term care plans were individually developed with the resident and/or family/whānau.  Residents and family members interviewed stated they are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 long-term care plans reviewed did not all reflect the InterRAI assessment.  Care plan gaps included some areas of the template left blank and interventions for areas of identified risk did not include all interventions to guide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all files reviewed.  Residents are seen by the GP at least three monthly or more frequently if required.  The GP records progress in the medical records and notes reviews on the resident’s medicine management charts.  Short-term care plans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for residents is not fully consistent with the needs of the residents, as evidenced through review of resident files, interviews with staff and observation of practice.  The service is also contracted by the local DHB to provide care for up to six residents with diagnoses of dementia.  There are currently four residents under this contract at Dixon House.  Not all residents under this dementia top-up contract are receiving care and service consistent with their assessed risks.  These residents are assessed as rest home level care with DHB funding for extra care staff hours.  This includes one to four staffing provided for these four residents during the afternoon/evening period.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required registered nurse review following health concerns do not always have this recorded as having been done.  Registered nurse input into progress notes was not evident with issues identified through caregiver progress notes entries.  Relatives were notified of changes in a resident's condition as evidenced in progress notes, incident reports and family contact sheets.  Caregivers document any changes in care/condition of residents in the progress notes.  The resident care plans and records reviewed were not fully completed (link 1.3.5.2 and 1.3.8.3).  All residents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wound management plans, short-term care plans and wound progress reports were not fully completed for all residents with wounds.  There were adequate dressing and continence supplies sighted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(DT) 20 hours a week. The DT is responsible for the planning and delivery of the activities programme with assistance from the manager and care staff.  The DT has over eight years’ experience working in aged care. There are currently four residents who are assessed as rest home level care but who have diagnoses of varying degrees of dementia.  The service receives extra funding for afternoon and evening activities which are provided by caregivers.  The diversional therapist has provided a separate activities document to assist caregivers with the provision of activities for these residents.  Caregivers document on each shift what activities these residents have engaged in.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in the large communal lounge/dining room, in seating areas including a computer area, gardens (when weather permits) and one-on-one input in resident’s rooms when required.  On the days of audit residents were observed being actively involved with a variety of activities including story reading/discussions, church service and one-on-one input.  The activities programme is developed monthly and a copy of the programme is available in the lounge, on noticeboards and in each resident room.  Residents have an initial assessment completed over the first few weeks after admission obtaining a complete social history of past and present interests and life events.</w:t>
            </w:r>
          </w:p>
          <w:p w:rsidR="00EB7645" w:rsidRPr="00BE00C7" w:rsidP="00BE00C7">
            <w:pPr>
              <w:pStyle w:val="OutcomeDescription"/>
              <w:spacing w:before="120" w:after="120"/>
              <w:rPr>
                <w:rFonts w:cs="Arial"/>
                <w:b w:val="0"/>
                <w:lang w:eastAsia="en-NZ"/>
              </w:rPr>
            </w:pPr>
            <w:r w:rsidRPr="00BE00C7">
              <w:rPr>
                <w:rFonts w:cs="Arial"/>
                <w:b w:val="0"/>
                <w:lang w:eastAsia="en-NZ"/>
              </w:rPr>
              <w:t>The programme includes residents being involved within the community with social clubs, churches and schools.  On or soon after admission, a social history is taken and information from this used to develop a diversional therapy plan which is then reviewed six monthly as part of the care plan review/evaluation.  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Dixon House has its own van for transportation.  Residents interviewed described weekly van outings, music entertainment and attendance at a variety of community events.  The activities coordinator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evidenced six monthly care plan reviews completed and were updated at this time.  Clinical reviews were documented in the multi-disciplinary review records.  Changes to care were not always documented as needs changed.  Documentation of GP visits were evidence that reviews were occurring at least three monthly.  Short-term care plans were in use for short-term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medical and non-medical services.  The registered nurse interviewed confirms that residents, family and the resident’s GP are informed of any referrals made directly to other nursing services or the needs assessment team.  Referrals to medical specialists are made by the GP in consultation with the registered nurse.  Relatives and residents interviewed stated they are informed of referrals required to other services and are provided with options and choice of service provider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displayed.  Assessment for hot water temperature checks are conducted monthly, these are documented to be over 45 degrees at times.  All electrical and mechanical equipment has been calibrated and tested and tagged. </w:t>
            </w:r>
          </w:p>
          <w:p w:rsidR="00EB7645" w:rsidRPr="00BE00C7" w:rsidP="00BE00C7">
            <w:pPr>
              <w:pStyle w:val="OutcomeDescription"/>
              <w:spacing w:before="120" w:after="120"/>
              <w:rPr>
                <w:rFonts w:cs="Arial"/>
                <w:b w:val="0"/>
                <w:lang w:eastAsia="en-NZ"/>
              </w:rPr>
            </w:pPr>
            <w:r w:rsidRPr="00BE00C7">
              <w:rPr>
                <w:rFonts w:cs="Arial"/>
                <w:b w:val="0"/>
                <w:lang w:eastAsia="en-NZ"/>
              </w:rPr>
              <w:t>The interior is well maintained with a home-like décor and furnishings.  The facility has a first floor area that can be accessed via a lift or either of two flights of stairs.  Upstairs there are five resident rooms, a tea making area and offices.  On the ground floor, there is a large communal lounge and dining area, a chapel and small sitting areas.  There are sufficient communal toilets adjacent to the lounge and dining areas.  There are small seating nooks available for residents and visitors.  Residents were observed to safely mobilise throughout the facility.  There is an external designated smoking area.  There is easy access to the outdoors.  The exterior is well maintained with safe paving, outdoor shaded seating, lawn and gardens.  Interviews with three caregivers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five single rooms upstairs and 32 downstairs in Dixon House which all have either a full ensuite or individual toilet and basin. There are also communal showers and toilets throughout the facility.  The number of visitor and resident communal toilets provided is adequate.  Facilities were viewed to be kept in a clean and hygienic state.  Regular audits are completed and included in the quality programme.  Residents interviewed state their privacy and dignity is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Hand washing and drying facilities are adjacent to the toilet.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resident needs.  Residents are able to manoeuvre mobility aids around the bed and personal space.  All beds are of an appropriate height for the residents.  Caregivers interviewed report that rooms have sufficient space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 and dining room and small seating areas.  The dining room is spacious, located directly off the kitchen/servery area.  All areas are easily accessible for the residents.  The furnishings and seating are appropriate for the consumer group.  Residents were seen to be moving freely both with and without assistance throughout the audit.  Residents interviewed report they can move around the facility and staff assist them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Dixon House has documented systems for monitoring the effectiveness and compliance with the service policies and procedures.  There is a separate laundry area where all linen and personal clothing is laundered by the care staff.  Staff attend infection control education and there is appropriate protective clothing available.  Care staff complete cleaning/laundry tasks.  Manufacturer’s data safety charts are available.  Residents and family interviewed report satisfaction with the laundry service and cleanliness of the room/facility.  Laundry and cleaning audits are completed as part of the annual audit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systems are checked monthly including call bells, emergency lighting and fire alarms.  The service has implemented policies and procedures for civil defence and other emergencies.  The service has an emergency civil defence box including torches and radios.  Emergency lighting and a gas BBQ are available in the event of a power failure.  A battery backup supplies power to the emergency lighting.  Staff stated that there were plenty of spare blankets available also.  The service has extra food and water supplies available for use in the event of an emergency.  Call bells were evident in resident’s rooms’, lounge, and toilets/bathrooms.  Call bells were observed to be answered appropriately on day of audit.  All staff have a current first aid certificate.  There is an evacuation scheme approved by the New Zealand Fire Service.  Six monthly fire drills are conducted.  Security procedures are established.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members interviewed stated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An enrolled nurse is the infection control coordinator and is responsible for infection control across the facility.  The management team and external consultant are responsible for the development of the infection control programme and its review.  The infection control programme is well established.  The infection control committee is part of the two monthly quality meeting.  There is external input as required from general practitioners and Medlab.  Annual review of the infection control programme has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(enrolled nurse).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in the past year.  Staff receive education on orientation and as part of the annual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sanitisers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monthly and annually.  Infection control education has been provided.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is practiced.  The manager oversees the restraint process within the facility.  There are policies around restraint, enablers and the management of residents who may exhibit behaviours that challenge.  The service currently has no residents using enablers or restraints.  Restraint education has been provided and restraint use is audited and discussed at quality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7848"/>
        <w:gridCol w:w="1670"/>
        <w:gridCol w:w="1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activities conducted include monthly internal audits, collection of monthly infection rates and monthly incidents and accidents. The service has access to a software programme provided by the external consultant to input data. Resident and relative surveys are conducted annually. Incidents and accident data is collected for falls, skin tears, bruising, behaviours, and wandering. Results of this data have not been analysed.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collected has not been analysed to identify trends and opportunities for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incident and accident data is analysed and evaluated to identify trends and ways to improve outcomes for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and quality improvement plans have been developed for health and safety matters and any hazards identified. Corrective actions have also been developed and completed for internal audits. Meeting minutes reviewed do not follow a corrective action format and issues identified have not been followed through.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have not been followed through for issues and areas for improvement identified through meeting minutes for quality, staff or resident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opportunities for improvement as identified at meetings are followed through and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were completed for all resident incidents and accidents.  Staff interviewed stated that they have support from the registered or enrolled nurse on duty at the time of any incident.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reviewed were not fully completed by a registered nurse to identify full analysis of the adverse event or opportunities to minimise further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incidents are fully investigated and that forms are fully completed with registered nurse follow up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were reviewed. Reference checks have been completed for newly employed staff members. Staff sign a confidentiality agreement when employed. Copies of annual practicing certificates are maintained on file. One staff member had a current staff appraisal and two staff members were not yet due for an annual appraisal. Medication competencies for registered nurses, enrolled nurses and senior caregivers were current. Copies of qualifications were on file and senior staff have current first aid certificates.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six staff files reviewed did not evidence a copy of an employment contract; (ii) five of six staff files did not have a signed job description; (iii) four of six files did not have completed orientation documentation; and (iv) three of six staff did not have a current annual appraisal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have a signed employment contract in place or evidence of a collective agreement contract; (ii) ensure all staff files have a signed job description; (iii) ensure all new staff complete orientation documentation; and (iv) ensure that annual appraisals are completed for all employees.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includes a medication policy and procedures that follows recognised standards and guidelines for safe medicine management.  All residents have individual medication orders with photo identification and allergy status documented.  Out of date medication has not all been discarded.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fridge had out of date suppositories stored, out of date yogurt and one opened eye drops not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medication is within date and eye drops are dated on opening.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care plan template that includes headings for all aspects of resident care.  All resident files reviewed had a long-term care plan, however these were not always fully completed and did not all reflect resident needs as identified by the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seven long-term care plans reviewed had areas of the template not completed.</w:t>
            </w:r>
          </w:p>
          <w:p w:rsidR="00EB7645" w:rsidRPr="00BE00C7" w:rsidP="00BE00C7">
            <w:pPr>
              <w:pStyle w:val="OutcomeDescription"/>
              <w:spacing w:before="120" w:after="120"/>
              <w:rPr>
                <w:rFonts w:cs="Arial"/>
                <w:b w:val="0"/>
                <w:lang w:eastAsia="en-NZ"/>
              </w:rPr>
            </w:pPr>
            <w:r w:rsidRPr="00BE00C7">
              <w:rPr>
                <w:rFonts w:cs="Arial"/>
                <w:b w:val="0"/>
                <w:lang w:eastAsia="en-NZ"/>
              </w:rPr>
              <w:t>ii)  Three of seven did not fully reflect the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iii) Two of two dementia care plans did not include interventions to manage documented behaviour.</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with falls linked to postural hypotension did not include strategies to minimise the risk of further falls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care plans are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care plans reflect the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iii and iv) Ensure care plan interventions are documented for areas of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with dementia diagnoses are receiving DHB top-up funding for extra care and service during the afternoon/evening period.  An extra caregiver is employed to provide activities and diversional therapies during the hours of 3pm – 8pm.  Two of four residents receiving care under the dementia top up funding contract were reviewed.  One resident has six incident reports for wandering away from the facility in the past four weeks.  One resident has challenging behaviours including aggression towards staff, pinching, kicking and resistant to cares.  Care plan interventions reviewed were not comprehensively completed to include behaviour management and monitoring strategies.  Input has been sought from the mental health services for older people and/or dementia outreach support nurse.  Although staff report that visits have occurred, there is no documented evidence in the resident files.  Staff report that minimal assistance and guidance has been provided.  The facility is situated adjacent to a busy main road, and other hazards exist including a nearby stream.  On the day of audit, the nurse manager contacted the GP for an urgent review of the resident and contacted the mental health services for the older person for urgent review and transfer. The DHB funding and planning manager was also contacted by the auditors to review the situation and assist with more appropriate placement for the wandering resident.  A placement has been found for the resident and the support services are working through the process of placing the resident in a dementia specific facility.</w:t>
            </w:r>
          </w:p>
          <w:p w:rsidR="00EB7645" w:rsidRPr="00BE00C7" w:rsidP="00BE00C7">
            <w:pPr>
              <w:pStyle w:val="OutcomeDescription"/>
              <w:spacing w:before="120" w:after="120"/>
              <w:rPr>
                <w:rFonts w:cs="Arial"/>
                <w:b w:val="0"/>
                <w:lang w:eastAsia="en-NZ"/>
              </w:rPr>
            </w:pPr>
            <w:r w:rsidRPr="00BE00C7">
              <w:rPr>
                <w:rFonts w:cs="Arial"/>
                <w:b w:val="0"/>
                <w:lang w:eastAsia="en-NZ"/>
              </w:rPr>
              <w:t>Wound care documentation was completed appropriately for nine of thirteen resident’s wounds.  Incident reports reviewed for August and September 2016 did not include a completed set of neurological observations where the resident had sustained a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with a diagnosis of dementia wanders away from the facility as evidenced by recent incident reports of six incidents in four weeks.</w:t>
            </w:r>
          </w:p>
          <w:p w:rsidR="00EB7645" w:rsidRPr="00BE00C7" w:rsidP="00BE00C7">
            <w:pPr>
              <w:pStyle w:val="OutcomeDescription"/>
              <w:spacing w:before="120" w:after="120"/>
              <w:rPr>
                <w:rFonts w:cs="Arial"/>
                <w:b w:val="0"/>
                <w:lang w:eastAsia="en-NZ"/>
              </w:rPr>
            </w:pPr>
            <w:r w:rsidRPr="00BE00C7">
              <w:rPr>
                <w:rFonts w:cs="Arial"/>
                <w:b w:val="0"/>
                <w:lang w:eastAsia="en-NZ"/>
              </w:rPr>
              <w:t>(ii)  Care plan interventions are lacking and do not describe the care and support required to manage and monitor one resident with wandering behaviour and physical aggression and one resident with physical aggression.</w:t>
            </w:r>
          </w:p>
          <w:p w:rsidR="00EB7645" w:rsidRPr="00BE00C7" w:rsidP="00BE00C7">
            <w:pPr>
              <w:pStyle w:val="OutcomeDescription"/>
              <w:spacing w:before="120" w:after="120"/>
              <w:rPr>
                <w:rFonts w:cs="Arial"/>
                <w:b w:val="0"/>
                <w:lang w:eastAsia="en-NZ"/>
              </w:rPr>
            </w:pPr>
            <w:r w:rsidRPr="00BE00C7">
              <w:rPr>
                <w:rFonts w:cs="Arial"/>
                <w:b w:val="0"/>
                <w:lang w:eastAsia="en-NZ"/>
              </w:rPr>
              <w:t>(iii) There is no documented frequent monitoring of the resident’s whereabouts.</w:t>
            </w:r>
          </w:p>
          <w:p w:rsidR="00EB7645" w:rsidRPr="00BE00C7" w:rsidP="00BE00C7">
            <w:pPr>
              <w:pStyle w:val="OutcomeDescription"/>
              <w:spacing w:before="120" w:after="120"/>
              <w:rPr>
                <w:rFonts w:cs="Arial"/>
                <w:b w:val="0"/>
                <w:lang w:eastAsia="en-NZ"/>
              </w:rPr>
            </w:pPr>
            <w:r w:rsidRPr="00BE00C7">
              <w:rPr>
                <w:rFonts w:cs="Arial"/>
                <w:b w:val="0"/>
                <w:lang w:eastAsia="en-NZ"/>
              </w:rPr>
              <w:t>(iv) Specialist support from allied health is not documented as occurring and staff report a lack of guidance and assistance.</w:t>
            </w:r>
          </w:p>
          <w:p w:rsidR="00EB7645" w:rsidRPr="00BE00C7" w:rsidP="00BE00C7">
            <w:pPr>
              <w:pStyle w:val="OutcomeDescription"/>
              <w:spacing w:before="120" w:after="120"/>
              <w:rPr>
                <w:rFonts w:cs="Arial"/>
                <w:b w:val="0"/>
                <w:lang w:eastAsia="en-NZ"/>
              </w:rPr>
            </w:pPr>
            <w:r w:rsidRPr="00BE00C7">
              <w:rPr>
                <w:rFonts w:cs="Arial"/>
                <w:b w:val="0"/>
                <w:lang w:eastAsia="en-NZ"/>
              </w:rPr>
              <w:t>(v)  Where caregivers have documented issues in progress notes, there is no documented registered nurse follow-up or review for one resident with disinhibited behaviours, and one resident with a urinary tract infection.</w:t>
            </w:r>
          </w:p>
          <w:p w:rsidR="00EB7645" w:rsidRPr="00BE00C7" w:rsidP="00BE00C7">
            <w:pPr>
              <w:pStyle w:val="OutcomeDescription"/>
              <w:spacing w:before="120" w:after="120"/>
              <w:rPr>
                <w:rFonts w:cs="Arial"/>
                <w:b w:val="0"/>
                <w:lang w:eastAsia="en-NZ"/>
              </w:rPr>
            </w:pPr>
            <w:r w:rsidRPr="00BE00C7">
              <w:rPr>
                <w:rFonts w:cs="Arial"/>
                <w:b w:val="0"/>
                <w:lang w:eastAsia="en-NZ"/>
              </w:rPr>
              <w:t>(vi) Incomplete wound documentation included more than one wound on a form for three wounds; the size and grade of the pressure injury was not documented; one wound did not have a wound care plan.</w:t>
            </w:r>
          </w:p>
          <w:p w:rsidR="00EB7645" w:rsidRPr="00BE00C7" w:rsidP="00BE00C7">
            <w:pPr>
              <w:pStyle w:val="OutcomeDescription"/>
              <w:spacing w:before="120" w:after="120"/>
              <w:rPr>
                <w:rFonts w:cs="Arial"/>
                <w:b w:val="0"/>
                <w:lang w:eastAsia="en-NZ"/>
              </w:rPr>
            </w:pPr>
            <w:r w:rsidRPr="00BE00C7">
              <w:rPr>
                <w:rFonts w:cs="Arial"/>
                <w:b w:val="0"/>
                <w:lang w:eastAsia="en-NZ"/>
              </w:rPr>
              <w:t>(vii)Neurological observations were not completed for two residents who had sustained a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are appropriately place to manage safety and risk.</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care plans include all documented interventions and monitoring requirements for residents at risk.</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monitoring of high risk residents occurs.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specialist support and advice is documented as occurring.</w:t>
            </w:r>
          </w:p>
          <w:p w:rsidR="00EB7645" w:rsidRPr="00BE00C7" w:rsidP="00BE00C7">
            <w:pPr>
              <w:pStyle w:val="OutcomeDescription"/>
              <w:spacing w:before="120" w:after="120"/>
              <w:rPr>
                <w:rFonts w:cs="Arial"/>
                <w:b w:val="0"/>
                <w:lang w:eastAsia="en-NZ"/>
              </w:rPr>
            </w:pPr>
            <w:r w:rsidRPr="00BE00C7">
              <w:rPr>
                <w:rFonts w:cs="Arial"/>
                <w:b w:val="0"/>
                <w:lang w:eastAsia="en-NZ"/>
              </w:rPr>
              <w:t>(v)  Ensure that registered nurses follow up on identified issues.</w:t>
            </w:r>
          </w:p>
          <w:p w:rsidR="00EB7645" w:rsidRPr="00BE00C7" w:rsidP="00BE00C7">
            <w:pPr>
              <w:pStyle w:val="OutcomeDescription"/>
              <w:spacing w:before="120" w:after="120"/>
              <w:rPr>
                <w:rFonts w:cs="Arial"/>
                <w:b w:val="0"/>
                <w:lang w:eastAsia="en-NZ"/>
              </w:rPr>
            </w:pPr>
            <w:r w:rsidRPr="00BE00C7">
              <w:rPr>
                <w:rFonts w:cs="Arial"/>
                <w:b w:val="0"/>
                <w:lang w:eastAsia="en-NZ"/>
              </w:rPr>
              <w:t>(vi) Ensure that all wound documentation is completed appropriately for individual wounds.</w:t>
            </w:r>
          </w:p>
          <w:p w:rsidR="00EB7645" w:rsidRPr="00BE00C7" w:rsidP="00BE00C7">
            <w:pPr>
              <w:pStyle w:val="OutcomeDescription"/>
              <w:spacing w:before="120" w:after="120"/>
              <w:rPr>
                <w:rFonts w:cs="Arial"/>
                <w:b w:val="0"/>
                <w:lang w:eastAsia="en-NZ"/>
              </w:rPr>
            </w:pPr>
            <w:r w:rsidRPr="00BE00C7">
              <w:rPr>
                <w:rFonts w:cs="Arial"/>
                <w:b w:val="0"/>
                <w:lang w:eastAsia="en-NZ"/>
              </w:rPr>
              <w:t>(vii)Provide evidence that neurological observations are completed for residents with obvious and suspected head injuries.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expected to review, evaluate and update care plans six monthly.  InterRAI assessments and paper based assessments are included as part of six monthly reviews of care (link also to 1.3.5.2 for InterRAI and linkages to care plans).  Where needs change between the six monthly reviews of care, the care plans were not always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who have recently commenced on the palliative care journey did not have their care plans updated to reflect the change in care needs; and ii) one resident whose husband had recently died did not have this reflected onto their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as resident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for hot water temperatures checks are conducted monthly, these are documented to be over 45 degrees at times.  All electrical and mechanical equipment has been calibrated and tested and tagged.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Rata wing, monthly hot temperatures are documented to have been 47 to 48 degrees Celsius since January 2016.  In Aroha wing, hot water temperatures were documented to have been at 49 degrees from January to June 2016.  Hot water temperatures were in the process of being addressed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temperatures in resident areas do not exceed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Dixon House Trust Board - Dixon House Rest Home</w:t>
    </w:r>
    <w:bookmarkEnd w:id="58"/>
    <w:r>
      <w:rPr>
        <w:rFonts w:cs="Arial"/>
        <w:sz w:val="16"/>
        <w:szCs w:val="20"/>
      </w:rPr>
      <w:tab/>
      <w:t xml:space="preserve">Date of Audit: </w:t>
    </w:r>
    <w:bookmarkStart w:id="59" w:name="AuditStartDate1"/>
    <w:r>
      <w:rPr>
        <w:rFonts w:cs="Arial"/>
        <w:sz w:val="16"/>
        <w:szCs w:val="20"/>
      </w:rPr>
      <w:t>17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