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Oakland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Oakland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October 2016</w:t>
      </w:r>
      <w:bookmarkEnd w:id="7"/>
      <w:r w:rsidRPr="009418D4">
        <w:rPr>
          <w:rFonts w:cs="Arial"/>
        </w:rPr>
        <w:tab/>
        <w:t xml:space="preserve">End date: </w:t>
      </w:r>
      <w:bookmarkStart w:id="8" w:name="AuditEndDate"/>
      <w:r w:rsidR="00A4268A">
        <w:rPr>
          <w:rFonts w:cs="Arial"/>
        </w:rPr>
        <w:t>28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Oakland provides residential care for up to 84 residents who require hospital, rest home and physical and or intellectual disability level of care. On the day of audit there were 62 beds occupied. The facility is operated by the Ultimate Care Group Limited.</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 and the district health board contract.  The audit process included review of policies and procedures, review of residents’ and staff files, observations and interviews with residents, families, management, staff, a general practitioner and other allied health professionals.</w:t>
      </w:r>
    </w:p>
    <w:p w:rsidRPr="00A4268A">
      <w:pPr>
        <w:spacing w:before="240" w:line="276" w:lineRule="auto"/>
        <w:rPr>
          <w:rFonts w:eastAsia="Calibri"/>
        </w:rPr>
      </w:pPr>
      <w:r w:rsidRPr="00A4268A">
        <w:rPr>
          <w:rFonts w:eastAsia="Calibri"/>
        </w:rPr>
        <w:t xml:space="preserve">Areas requiring improvement from this audit relate to the internal audit programme not being followed; analysis of quality data; corrective action plans and review to show effectiveness; currency of restraint education and competencies; interRAI assessments; incomplete resident documentation concerning care delivery; care plans not updated and the lack of short term care plans developed when the health status of a resident changes.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residents’ rights, access to interpreter services and how to lodge a complaint was available to residents and their families.  The complaints register is current and all complaints have been entered. Residents and their families reported their satisfaction with open communication with staff.</w:t>
      </w:r>
    </w:p>
    <w:p w:rsidRPr="00A4268A">
      <w:pPr>
        <w:spacing w:before="240" w:line="276" w:lineRule="auto"/>
        <w:rPr>
          <w:rFonts w:eastAsia="Calibri"/>
        </w:rPr>
      </w:pPr>
      <w:r w:rsidRPr="00A4268A">
        <w:rPr>
          <w:rFonts w:eastAsia="Calibri"/>
        </w:rPr>
        <w:t>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Ultimate Care Group Limited is the governing body and is responsible for the service provided.  A business plan and quality and risk management systems are fully implemented at Ultimate Care Oakland and include a documented scope, direction, goals, values, and a mission statement. Systems are in place for monitoring the service, including regular reporting by the facility manager to head office.</w:t>
      </w:r>
    </w:p>
    <w:p w:rsidRPr="00A4268A">
      <w:pPr>
        <w:spacing w:before="240" w:line="276" w:lineRule="auto"/>
        <w:rPr>
          <w:rFonts w:eastAsia="Calibri"/>
        </w:rPr>
      </w:pPr>
      <w:r w:rsidRPr="00A4268A">
        <w:rPr>
          <w:rFonts w:eastAsia="Calibri"/>
        </w:rPr>
        <w:t xml:space="preserve">The facility is managed by a facility manager who has a background in management. The facility manager is supported by a clinical services manager.  The clinical services manager is responsible for oversight of the clinical service in the facility. </w:t>
      </w:r>
    </w:p>
    <w:p w:rsidRPr="00A4268A">
      <w:pPr>
        <w:spacing w:before="240" w:line="276" w:lineRule="auto"/>
        <w:rPr>
          <w:rFonts w:eastAsia="Calibri"/>
        </w:rPr>
      </w:pPr>
      <w:r w:rsidRPr="00A4268A">
        <w:rPr>
          <w:rFonts w:eastAsia="Calibri"/>
        </w:rPr>
        <w:t>Quality and risk management systems are in place.  There is an internal audit programme and an up to date hazard register.  Adverse events are documented on accident/incident forms.  Accident/incident forms and quality meeting minutes evidenced corrective action plans are developed, implemented, monitored and signed off as being completed to address the issue/s that require improvement.  Quality, staff and resident meetings are held on a regular basic.</w:t>
      </w:r>
    </w:p>
    <w:p w:rsidRPr="00A4268A">
      <w:pPr>
        <w:spacing w:before="240" w:line="276" w:lineRule="auto"/>
        <w:rPr>
          <w:rFonts w:eastAsia="Calibri"/>
        </w:rPr>
      </w:pPr>
      <w:r w:rsidRPr="00A4268A">
        <w:rPr>
          <w:rFonts w:eastAsia="Calibri"/>
        </w:rPr>
        <w:t xml:space="preserve">The risk register evidenced review and updating of risks and the addition of new risks. The health and safety representative has attended training in the Health and Safety at Work Act (2015) requirements.     </w:t>
      </w:r>
    </w:p>
    <w:p w:rsidRPr="00A4268A">
      <w:pPr>
        <w:spacing w:before="240" w:line="276" w:lineRule="auto"/>
        <w:rPr>
          <w:rFonts w:eastAsia="Calibri"/>
        </w:rPr>
      </w:pPr>
      <w:r w:rsidRPr="00A4268A">
        <w:rPr>
          <w:rFonts w:eastAsia="Calibri"/>
        </w:rPr>
        <w:t>Human resources processes are followed. There are policies and procedures on human resources management.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The documented rationale for determining staffing levels and skill mixes is based on best practise.  Registered nurses are rostered on duty at all times. The clinical services manager and senior registered nurses are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Registered nurses are supported by care and allied health staff, including a physiotherapist and two designated general practitioners. On call arrangements for support from senior staff are in place.  Shift handovers, communication sheets and frequent updates of residents’ progress notes guide continuity of care. </w:t>
      </w:r>
    </w:p>
    <w:p w:rsidRPr="00A4268A" w:rsidP="00621629">
      <w:pPr>
        <w:spacing w:before="240" w:line="276" w:lineRule="auto"/>
        <w:rPr>
          <w:rFonts w:eastAsia="Calibri"/>
        </w:rPr>
      </w:pPr>
      <w:r w:rsidRPr="00A4268A">
        <w:rPr>
          <w:rFonts w:eastAsia="Calibri"/>
        </w:rPr>
        <w:t xml:space="preserve">Individualised care plans are developed within required timeframes, and include a range of clinical information. Resident’s long-term nursing care plans are reviewed regularly to evaluate progress towards identified goals. </w:t>
      </w:r>
    </w:p>
    <w:p w:rsidRPr="00A4268A" w:rsidP="00621629">
      <w:pPr>
        <w:spacing w:before="240" w:line="276" w:lineRule="auto"/>
        <w:rPr>
          <w:rFonts w:eastAsia="Calibri"/>
        </w:rPr>
      </w:pPr>
      <w:r w:rsidRPr="00A4268A">
        <w:rPr>
          <w:rFonts w:eastAsia="Calibri"/>
        </w:rPr>
        <w:t>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two qualified diversional therapists provides residents with a variety of individual and group activities and helps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implemented using a manual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food service delivery, supported by staff with food safety qualifications. The kitchen was well organised, clean and meets food safety standards. Most residents expressed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to the building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On the days of audit there were 10 residents using restraint and one resident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Appropriate aged care specific infection surveillance is undertaken. Data is analysed and results reported through all levels of the service. Follow-up action is taken as and when required. Surveillance results are also benchmarked with other UCG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1"/>
        <w:gridCol w:w="1280"/>
        <w:gridCol w:w="104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on admission and there is complaints information and forms available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showed 16 complaints have been received over the past year and that actions taken, through to an agreed resolution, are documented and completed within the timeframes specified in the Code.  Action plans reviewed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reported there have been no investigations by the Health and Disability Commissioner, the Ministry of Health,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included evidence of open disclosure and timely communication with residents/families. Communication was documented in family communication sheets, on accident/incident forms as well as documented in the residents’ progress notes. Family members stated they were informed in a timely manner about any changes to the resident’s status and appreciated the ongoing communication with staff. Evidence was sighted of both families, and where possible, residents, having input into the care planning process. Staff were observed communicating effectively with residents and family. Interpreter services can be accessed from the local District Health Board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(UCG) is the governing body and is responsible for the service provided at Ultimate Care Oakland (Oakland).  A 'Quality and Risk Management Plan’ was reviewed and included a vision statement, core values, quality objectives, quality indicators and quality projects, and scope of service.  Also reviewed were documented values, mission statement and a philosophy of resident centred care.  The service philosophy was in an understandable form and was available to residents and their family / representative or other services involved in referring clients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has established systems in place which defined the scope, direction and goals of the organisation at UCG facilities,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There is an 'Ultimate Care Group Clinical Advisory Panel' (CAP) in place that is responsible for reviewing clinical issues and policies and procedures following feedback from the UCG facilities and from the governing body.</w:t>
            </w:r>
          </w:p>
          <w:p w:rsidR="00EB7645" w:rsidRPr="00BE00C7" w:rsidP="00BE00C7">
            <w:pPr>
              <w:pStyle w:val="OutcomeDescription"/>
              <w:spacing w:before="120" w:after="120"/>
              <w:rPr>
                <w:rFonts w:cs="Arial"/>
                <w:b w:val="0"/>
                <w:lang w:eastAsia="en-NZ"/>
              </w:rPr>
            </w:pPr>
            <w:r w:rsidRPr="00BE00C7">
              <w:rPr>
                <w:rFonts w:cs="Arial"/>
                <w:b w:val="0"/>
                <w:lang w:eastAsia="en-NZ"/>
              </w:rPr>
              <w:t>Meeting schedules and minutes reviewed evidenced that monthly quality, staff, registered nurse (RN), caregivers and residents’ meetings are held.  Meeting minutes were available for review by staff along with graphs of various clinical indicators. The FM provides weekly and monthly reports to the governing body.  Reports included reporting on quality and risk management issues, occupancy, HR issues, quality improvements, internal audit outcomes,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has been in the role of FM since February 2015, prior to that they were the acting facility manager.  The facility manager has a background in management and has attended leadership management courses since the previous audit. The FM is supported by an experienced clinical services manager (CSM) / registered nurse (RN) and a team leader/RN. The CSM has been in this role since December 2015 and is responsible for oversight of clinical care provided to residents. The CSM has experience in the aged care sector and prior to this appointment held the position of care manager/RN in other facilities. The senior management team from UCG head office also provide support as required.</w:t>
            </w:r>
          </w:p>
          <w:p w:rsidR="00EB7645" w:rsidRPr="00BE00C7" w:rsidP="00BE00C7">
            <w:pPr>
              <w:pStyle w:val="OutcomeDescription"/>
              <w:spacing w:before="120" w:after="120"/>
              <w:rPr>
                <w:rFonts w:cs="Arial"/>
                <w:b w:val="0"/>
                <w:lang w:eastAsia="en-NZ"/>
              </w:rPr>
            </w:pPr>
            <w:r w:rsidRPr="00BE00C7">
              <w:rPr>
                <w:rFonts w:cs="Arial"/>
                <w:b w:val="0"/>
                <w:lang w:eastAsia="en-NZ"/>
              </w:rPr>
              <w:t>Oakland is certified to provide medical and geriatric hospital level care, rest home level care and physical and / or intellectual disabilities residential care.  There are 84 beds provided.  The FM advised that apart from seven rest home beds, all other beds have been approved for either rest home or hospital use.  On day one of this audit there were 39 hospital residents, 16 rest home residents and seven residents aged less than 65 years with a physical and / or intellectual disability.</w:t>
            </w:r>
          </w:p>
          <w:p w:rsidR="00EB7645" w:rsidRPr="00BE00C7" w:rsidP="00BE00C7">
            <w:pPr>
              <w:pStyle w:val="OutcomeDescription"/>
              <w:spacing w:before="120" w:after="120"/>
              <w:rPr>
                <w:rFonts w:cs="Arial"/>
                <w:b w:val="0"/>
                <w:lang w:eastAsia="en-NZ"/>
              </w:rPr>
            </w:pPr>
            <w:r w:rsidRPr="00BE00C7">
              <w:rPr>
                <w:rFonts w:cs="Arial"/>
                <w:b w:val="0"/>
                <w:lang w:eastAsia="en-NZ"/>
              </w:rPr>
              <w:t>Contracts with the DHB include aged related residential care and long term support – chronic health conditions (residential).  The service also has a contract with the Ministry of Health to provide residential – non-aged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guides the quality programme and included goals and objectives. An internal audit programme is in place and completed internal audits were reviewed. The programme has not always been followed and there are audits completed after the scheduled month and others not completed.  Risks are identified, and there was a hazard register that identified health and safety risks as well as risks associated with human resources management, legislative compliance, contractual risks and clinical risk. A Health and Safety Manual was available that included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and various staff meetings are held along with residents’ meetings. Younger residents with a physical disability have their own meetings. Minutes evidenced good communication between the service and the younger residents.  Meeting minutes were reviewed and these were available for review by staff. The facility manager reports to UCG head office include reporting on occupancy, staffing and human resources management, environmental and property reports, financial reporting and general comments.  Reporting to UCG head office is via an electronic database which is used to input clinical indicators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was recorded on various registers and forms. Data consists mainly of numbers and graphs. There is some analysis of data, however, this is inconsistent and basic and any trends identified were not documented. The CSM reported they discuss any trends at the various meetings, however, this was not documented in the any of the meeting minutes reviewed.  Meeting minutes evidenced reporting of numbers of clinical indicators and graphs including bench marking with other UCG facilities and another provider of aged care facilities.  Corrective actions are developed and implemented to improve service delivery following completion of internal audits. Evidence of closing out corrective actions and review to evidence effectiveness was inconsistent. There was no evidence of corrective actions following the 2016 relative/family satisfaction survey. Adverse events are documented on accident/incident forms and copies of these were retained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Relevant standards were identified and included in the policies and procedures manuals.  Policies and procedures were reviewed that were relevant to the scope and complexity of the service, reflected current accepted good practice, use of the interRAI assessment tool,  and reference legislative requirements.  Policies / procedures were available with systems in place for reviewing and updating the policies and procedures regularly, including a policy for document update reviews and document control policy. The CAP from UCG is responsible for reviewing policies and procedures.  Staff signing sheets demonstrated staff had been updated on new/reviewed policies, and this was confirmed during interviews of care staff.  Care staff interviewed confirmed the policies and procedures provided appropriate guidance for the service delivery and they were advised of new policies /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Younger residents with a physical disability expressed satisfaction with regards to making decisions. Younger residents live throughout the facility rather than being all together in one area and they reported this was their choice. Younger residents have electronic equipment and all necessary aids to help mobility and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These are collated by the clinical services manager. The original is kept in the residents’ files.  Data includes numbers and graphs of various clinical indicators.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FM advised there have been two essential notification (Section 31) to the Ministry of Health since the previous audit. One relating to a resident admission and the other concerning a power outage. Documentation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completed orientation, competency assessments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for 2016 was reviewed. There was evidence indicating in-service education is provided for staff utilising various methods of delivery including in-house sessions and study days and external education.  The FM advised the study days will be replaced with on-line learning.  Individual records of education are maintained electronically as are competency assessments. Files for recently employed staff evidenced competency assessments for restraint as part of their orientation. The spreadsheet for education evidenced six clinical staff have received restraint education and restraint competences for all clinical staff are not current.</w:t>
            </w:r>
          </w:p>
          <w:p w:rsidR="00EB7645" w:rsidRPr="00BE00C7" w:rsidP="00BE00C7">
            <w:pPr>
              <w:pStyle w:val="OutcomeDescription"/>
              <w:spacing w:before="120" w:after="120"/>
              <w:rPr>
                <w:rFonts w:cs="Arial"/>
                <w:b w:val="0"/>
                <w:lang w:eastAsia="en-NZ"/>
              </w:rPr>
            </w:pPr>
            <w:r w:rsidRPr="00BE00C7">
              <w:rPr>
                <w:rFonts w:cs="Arial"/>
                <w:b w:val="0"/>
                <w:lang w:eastAsia="en-NZ"/>
              </w:rPr>
              <w:t>The FM advised a New Zealand Qualification Authority education programme will be re-introduced in the new year for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 There are two nursing staff who have interRAI training and current competency to undertake these assessments. Two other interRAI trained nursing staff have resigned in the past six months.  (Areas for improvement is identified in relation to interRAI assessments against criteria 1.3.3.3 and 1.3.8.3.)</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Care staff also confirmed their attendance at on-going in-service education and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to provide safe service delivery that is based on best practice.  The minimum number of staff is provided during the night shift.  The clinical services manager and senior RNs are on-call after hours.  Care staff interviewed reported there was adequate staff available and that they can get through the work allocated to them.  Residents and families interviewed reported the number of staff on duty is adequate to provide them or their relative with safe care.  Observations during this audit confirmed adequate staff cover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hard-copy system was observed during the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Not all medications sighted were within current use-by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and both staff observe the medication being administered.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fridges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service has recently identified that the required three monthly GP medications review are not consistently recorded on the medicine chart, and is working to address this. Of the 19 medication charts reviewed, only one did not include evidence of medication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CSM and entered into the GOSH system. The resident and/or the designated representative are advised. Refer also to criterion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experienced cook and kitchen team and is in line with recognised nutritional guidelines for older people.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such as lip plates, is available to meet resident’s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small dining areas around the facility, which residents reported as creating a homely atmosphere during meals. Residents were seen to be given sufficient time to eat their meal in an unhurried fashion and those requiring assistance had this provided. There is sufficient staff on duty in the dining rooms at meal times to ensure appropriate assistance is available to residents as needed.  All residents spoken with enjoyed the main meal, which was served at lunchtime, but several felt that the evening meals were not as enjoyable.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not always consistent with their needs, goals and the plan of care.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qualified and experienced diversional therapists, supported by an assistant and a number of volunteers.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 residents’ goals, ordinary patterns of life and include normal community activities. Group activities and regular events are offered, and included exercises, crafts, entertainers, weekly outings, church services, sunshine club, music therapy, bingo and happy hour. Several residents said how they had enjoyed the Octoberfest event held earlier in the week and were now looking forward to the forthcoming Melbourne Cup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was more limited evidence of one-on-one activities being provided. The activities programme is discussed at the minuted residents’ and indicated residents’ input is sought and responded to.  Resident and family satisfaction surveys demonstrated satisfaction with the programme and that information is used to improve the range of activities offered. Residents confirmed they find the programme interesting and enjoyable.  A review of the activities plans for two residents aged under 65 years confirmed that efforts had been made to ensure their activities programme promoted their ongoing involvement in the community, and reflected their individual needs/interests.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every shift and reported in the progress notes each shift for hospital-level residents, and at least daily for rest home residents.  Formal care plan evaluations are completed every six months by the RN, and in the clinical files reviewed these evaluations were detailed. Where progress is different from expected, the service does not consistently respond by initiating changes to the plan of care, or developing short term care plans for more acute, time-limited events.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displaying in the facility. There have been no alterations to the building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and respiratory tract. When an infection is identified, a record of this is documented, and then entered into the organisation’s GOSH system.  New infections and any required management plan are discussed at handover, to ensure early intervention occurs. The infection control coordinator reviews all reported infections which are reported to the CSM and FM.  This information is reported to UCG via the facility manager, and benchmarked within the group. Surveillance results are reported to the CQI meetings and shared with staff via regular staff meetings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Surveillance results are then shared with staff at the registered nurses and general staff meetings, as confirmed in meeting minutes sighted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demonstrated they are actively reducing the use of restraint. There were 10 residents using restraint and one resident using an enabler during the audit. The restraint register is current and updated. The policies and procedures have good definitions of restraints and enablers.  The process of assessment and evaluation of enabler use was recorded. The restraint coordinator and care staff demonstrated knowledge about restraints and enablers and how they are actively trying to reduce the use of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3"/>
        <w:gridCol w:w="1280"/>
        <w:gridCol w:w="5820"/>
        <w:gridCol w:w="2843"/>
        <w:gridCol w:w="21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plan-Oakland - January to December 2016 guides the quality programme and includes planning and responsibility, a mission statement, care values and objectives and goals. Quality improvement data is reported to UCG head office via an electronic system on a regular basis. Quality data can be accessed electronically and includes clinical indicators using graphs and benchmarking with other UCG facilities and another company with similar facilities. Staff interviewed including the facility manager, clinical services manager, health and safety representative and care staff demonstrated an understanding of the quality and risk management systems. The internal audit programme for 2016 evidenced the programme is not always followed. Some audits are late or have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 programme has not always been followed. The medication audit for August, the clinical files audit for September and the audits for October including restraint and cleaning have not been completed. Other audits have been completed after the scheduled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the internal audit programme for 2016 is followed.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date is being collected and collated on a regular basis, including clinical indicators, and graphs are generated. There is some evidence of analysis of data, however this is inconsistent. There was no evidence of any trends identified apart from graphs. The CSM advised there is discussion at the meetings around analysis and identifying any trends and staff confirmed this. Meeting minutes evidenced reporting of collated numbers of clinical indicators only.  There was no evidence of discussion related to analysis and trending of quality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graphs, analysis of quality data to identify any trends is not consistently documented. The only analysis documented were statements such as “numbers increased” and “remains high and care required”. Meeting minutes include numbers and benchmarking of clinical indicators, including but not limited to falls, bruising, skin tears medication errors, behaviours, pressure areas and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documented evidence that quality data is comprehensively analysed to identify trends and the results reported back to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being developed and implemented for deficiencies identified following internal audits. The relative and residents’ satisfaction survey for 2016 identified deficits, however, there was no evidence of any corrective action plans. Meeting minutes, apart from the quality minutes, do not consistently document who is responsible for the corrective action, time frames for completion and sign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has not been completed following the relative and resident satisfaction survey completed this year. Meeting minutes, apart from the quality meetings, do not consistently document the staff member responsible for the corrective action, the timeframe and any sign off that the action has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(i) corrective action plans are developed, implemented and reviewed following all deficits identified; (ii) meeting minutes state who is responsible for the corrective action, the timeframes for completion and sign off once the corrective action has been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programme covers all required subjects. Inservice sessions and study days have been provided as well as education offered externally. The FM advised on-line learning is to be introduced next year and a New Zealand Qualification Authority education programme is to be re-introduced. Medication competency assessments are current for all staff who are responsible for medicine management. An electronic data base records all education and competencies for staff.  Six clinical staff have received restraint education and apart from new staff, restraint competency is not current. Staff interviewed were uncertain as to when they last completed a competency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six clinical staff, restraint education has not been provided during 2016. Competency assessments are not current for all clinical staff apart from new staff who have completed this as part of their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(i) all clinical staff have attended restraint education and that this is on-going; (ii) all clinical staff have current competency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two exceptions, all aspects of medication management comply with legislation, protocols and guidelines.   Medications in two of the service’s medication trolleys and medication rooms were reviewed, with four expired pro re nata medications identified in one of the medication trolleys.   Two containers of eyedrops in current use did not have the date of first use recorded, and one container of eyedrops had been opened more than 30 days earlier but not replaced.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are not replaced when past their expiry date.</w:t>
            </w:r>
          </w:p>
          <w:p w:rsidR="00EB7645" w:rsidRPr="00BE00C7" w:rsidP="00BE00C7">
            <w:pPr>
              <w:pStyle w:val="OutcomeDescription"/>
              <w:spacing w:before="120" w:after="120"/>
              <w:rPr>
                <w:rFonts w:cs="Arial"/>
                <w:b w:val="0"/>
                <w:lang w:eastAsia="en-NZ"/>
              </w:rPr>
            </w:pPr>
            <w:r w:rsidRPr="00BE00C7">
              <w:rPr>
                <w:rFonts w:cs="Arial"/>
                <w:b w:val="0"/>
                <w:lang w:eastAsia="en-NZ"/>
              </w:rPr>
              <w:t>The first date of use of eyedrops is not always recorded, and eyedrops are not discarded within 30 days of first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medications are discarded and replaced when past their expiry date.</w:t>
            </w:r>
          </w:p>
          <w:p w:rsidR="00EB7645" w:rsidRPr="00BE00C7" w:rsidP="00BE00C7">
            <w:pPr>
              <w:pStyle w:val="OutcomeDescription"/>
              <w:spacing w:before="120" w:after="120"/>
              <w:rPr>
                <w:rFonts w:cs="Arial"/>
                <w:b w:val="0"/>
                <w:lang w:eastAsia="en-NZ"/>
              </w:rPr>
            </w:pPr>
            <w:r w:rsidRPr="00BE00C7">
              <w:rPr>
                <w:rFonts w:cs="Arial"/>
                <w:b w:val="0"/>
                <w:lang w:eastAsia="en-NZ"/>
              </w:rPr>
              <w:t>The date of first use of eyedrops is recorded, and eyedrops discarded within 30 days of first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for completing an initial assessment, the development of a long-term care plan, and regular evaluation of resident progress towards identified goals had been met in all clinical files reviewed. Registered nurses are responsible for resident assessment, and a comprehensive range of hard copy clinical assessments are completed for each resident as part of the admission process, followed by six- monthly reassessments.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visit there were 36 residents who did not have a current interRAI assessment. The service currently has two qualified interRAI assessors, with two other staff on the waiting list for assessor training. The clinical service manager (CSM) advised that two interRAI assessors had resigned in the past six months. Refer also to criteria 1.3.8.3.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36 residents do not have a current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current interRAI assessment.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expressed their satisfaction with care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clinical files identified numerous instances in which identified needs were not reflected in the resident’s care plans.  Refer tracer examples in 1.3.3. In another example, a resident was admitted few days earlier directly from hospital, with two medical conditions having necessitated their hospital admission. While there was good documentation in relation to the monitoring of one of these conditions since admission in the facility, with the exception of one brief entry in the progress notes, there was no evidence of the second condition being monitored, and it was not included in their plan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residents whose clinical files were reviewed had current interRAI assessments. Only some components of the assessment are in the clinical file, and this did not include the summary reports which are linked to care planning requirements. It was therefore difficult to identify whether the identified care needs were reflected in the resident’s plan of care. The CSM confirmed that interRAI assessments were not informing care planning. Refer also to Tracers One, Two and Three in Standard 1.3.3.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wound documentation folders in two of the wings were reviewed, in over 50% of the cases it was unclear which wounds were still current. The CSM advised there were a total of seven pressure injuries in the facility. The incidence of pressure injuries is the highest of any UCG facility in all but one month of 2016.  Medication errors are also higher than the UCG average.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doctors who visits the facility at least weekly advised they were notified in a timely manner about changes in residents’ conditions, but that their prescribed treatments/instructions were not consistently followed.  The doctor stated that “there was a disconnect between registered nursing staff and caregivers”, and that the “registered nurses were not leading care”. The doctor met several months ago with registered nursing staff to express their concerns, and “there had been some recent improvement, but there was still a long way to go”.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related to care delivery is incomplete, and there was insufficient evidence to confirm residents were receiving adequate and 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When a resident has a current interRAI assessment, assessment outcomes are not consistently reflected in the nursing plan.</w:t>
            </w:r>
          </w:p>
          <w:p w:rsidR="00EB7645" w:rsidRPr="00BE00C7" w:rsidP="00BE00C7">
            <w:pPr>
              <w:pStyle w:val="OutcomeDescription"/>
              <w:spacing w:before="120" w:after="120"/>
              <w:rPr>
                <w:rFonts w:cs="Arial"/>
                <w:b w:val="0"/>
                <w:lang w:eastAsia="en-NZ"/>
              </w:rPr>
            </w:pPr>
            <w:r w:rsidRPr="00BE00C7">
              <w:rPr>
                <w:rFonts w:cs="Arial"/>
                <w:b w:val="0"/>
                <w:lang w:eastAsia="en-NZ"/>
              </w:rPr>
              <w:t>The doctor also expressed concerns about the standard of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clear evidence that residents are receiving adequate and appropriate care and that care plans reflect the outcomes of interRAI assessments.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of long-term care plans is undertaken in a timely and comprehensive manner. Most short term care plans sighted were related to infections, and these had also been evaluated in a timely manner. At least 50% of the wound management documentation reviewed was incomplete. Although there was evidence of regular changes of dressings, and some photographs of wounds, few wounds had an associated short-term care plan. The form on which dressing changes are documented does not include wound treatment goals.  It was difficult to establish which wounds were current at the time of audit. Refer also to criterion 1.3.3.3. </w:t>
            </w:r>
          </w:p>
          <w:p w:rsidR="00EB7645" w:rsidRPr="00BE00C7" w:rsidP="00BE00C7">
            <w:pPr>
              <w:pStyle w:val="OutcomeDescription"/>
              <w:spacing w:before="120" w:after="120"/>
              <w:rPr>
                <w:rFonts w:cs="Arial"/>
                <w:b w:val="0"/>
                <w:lang w:eastAsia="en-NZ"/>
              </w:rPr>
            </w:pPr>
            <w:r w:rsidRPr="00BE00C7">
              <w:rPr>
                <w:rFonts w:cs="Arial"/>
                <w:b w:val="0"/>
                <w:lang w:eastAsia="en-NZ"/>
              </w:rPr>
              <w:t>In three instances a change in resident needs was not reflected in either their long-term care plan, or a short term care plan developed. One example of this was a care plan not being updated to reflect an instruction by the physiotherapist in relation to the use of a specific piece of equipment for mobilising the resident.  Refer also to Tracers One, Two and Three, Standard 1.3.3.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residents care needs change, care plans are not always updated to reflect this. </w:t>
            </w:r>
          </w:p>
          <w:p w:rsidR="00EB7645" w:rsidRPr="00BE00C7" w:rsidP="00BE00C7">
            <w:pPr>
              <w:pStyle w:val="OutcomeDescription"/>
              <w:spacing w:before="120" w:after="120"/>
              <w:rPr>
                <w:rFonts w:cs="Arial"/>
                <w:b w:val="0"/>
                <w:lang w:eastAsia="en-NZ"/>
              </w:rPr>
            </w:pPr>
            <w:r w:rsidRPr="00BE00C7">
              <w:rPr>
                <w:rFonts w:cs="Arial"/>
                <w:b w:val="0"/>
                <w:lang w:eastAsia="en-NZ"/>
              </w:rPr>
              <w:t>Wound care evaluation is incomplete, and there are not always documented goals for wound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care plan reflects their current care needs and documentation related to the management and evaluation of clinical conditions, such as wounds, is incomplete.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Oakland Lifecare</w:t>
    </w:r>
    <w:bookmarkEnd w:id="58"/>
    <w:r>
      <w:rPr>
        <w:rFonts w:cs="Arial"/>
        <w:sz w:val="16"/>
        <w:szCs w:val="20"/>
      </w:rPr>
      <w:tab/>
      <w:t xml:space="preserve">Date of Audit: </w:t>
    </w:r>
    <w:bookmarkStart w:id="59" w:name="AuditStartDate1"/>
    <w:r>
      <w:rPr>
        <w:rFonts w:cs="Arial"/>
        <w:sz w:val="16"/>
        <w:szCs w:val="20"/>
      </w:rPr>
      <w:t>27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