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Oakwoods Lifecare (2012) Limited - Oakwoods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Oakwoods Lifecare (2012)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Oakwoods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September 2016</w:t>
      </w:r>
      <w:bookmarkEnd w:id="7"/>
      <w:r w:rsidRPr="009418D4">
        <w:rPr>
          <w:rFonts w:cs="Arial"/>
        </w:rPr>
        <w:tab/>
        <w:t xml:space="preserve">End date: </w:t>
      </w:r>
      <w:bookmarkStart w:id="8" w:name="AuditEndDate"/>
      <w:r w:rsidR="00A4268A">
        <w:rPr>
          <w:rFonts w:cs="Arial"/>
        </w:rPr>
        <w:t>29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Eight two-bedroomed serviced studio apartments on the first floor and one respite room on the ground floor were assessed as suitable to provide rest home level of care.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Oakwoods retirement village is part of the Arvida aged care residential group. The service provides rest home and hospital level of care for up to 48 residents in the care facility, and rest home level care for up to 35 serviced studio apartments.  On the day of the audit, there were 50 residents, including two rest home residents in serviced studio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This audit also included verifying a further eight serviced studio apartments located on the first floor as suitable for rest home level of care residents.  A respite care room on the ground floor within the serviced studio apartment area was also verified as suitable for rest home level of care. The audit also included verifying the service as suitable to provide medical level care under their hospital certification.</w:t>
      </w:r>
    </w:p>
    <w:p w:rsidRPr="00A4268A">
      <w:pPr>
        <w:spacing w:before="240" w:line="276" w:lineRule="auto"/>
        <w:rPr>
          <w:rFonts w:eastAsia="Calibri"/>
        </w:rPr>
      </w:pPr>
      <w:r w:rsidRPr="00A4268A">
        <w:rPr>
          <w:rFonts w:eastAsia="Calibri"/>
        </w:rPr>
        <w:t xml:space="preserve">An experienced village manager is responsible for the daily operations of the service.  He is supported by an experienced nurse manager and stable workforce.  </w:t>
      </w:r>
    </w:p>
    <w:p w:rsidRPr="00A4268A">
      <w:pPr>
        <w:spacing w:before="240" w:line="276" w:lineRule="auto"/>
        <w:rPr>
          <w:rFonts w:eastAsia="Calibri"/>
        </w:rPr>
      </w:pPr>
      <w:r w:rsidRPr="00A4268A">
        <w:rPr>
          <w:rFonts w:eastAsia="Calibri"/>
        </w:rPr>
        <w:t>The residents and relatives spoke positively about the care and services provided at Oakwoods retirement village.</w:t>
      </w:r>
    </w:p>
    <w:p w:rsidRPr="00A4268A">
      <w:pPr>
        <w:spacing w:before="240" w:line="276" w:lineRule="auto"/>
        <w:rPr>
          <w:rFonts w:eastAsia="Calibri"/>
        </w:rPr>
      </w:pPr>
      <w:r w:rsidRPr="00A4268A">
        <w:rPr>
          <w:rFonts w:eastAsia="Calibri"/>
        </w:rPr>
        <w:t xml:space="preserve">This certification audit identified an area for improvement relating to general practitioner prescribing of medications. </w:t>
      </w:r>
    </w:p>
    <w:p w:rsidRPr="00A4268A">
      <w:pPr>
        <w:spacing w:before="240" w:line="276" w:lineRule="auto"/>
        <w:rPr>
          <w:rFonts w:eastAsia="Calibri"/>
        </w:rPr>
      </w:pPr>
      <w:r w:rsidRPr="00A4268A">
        <w:rPr>
          <w:rFonts w:eastAsia="Calibri"/>
        </w:rPr>
        <w:t>The service is commended for achieving continued improvement ratings around good practice and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at Oakwoods retirement village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Information about the Code and services is easily accessible to residents and families.  Information on informed consent is included in the admission agreement and discussed with residents and relatives.  Policies are implemented to support residents’ rights, communication and complaints management.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and appropriately managed.  Falls prevention strategies are in place that includes the analysis of falls incidents.  An orientation programme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plans, and reviews residents' needs, outcomes and goals with the resident and/or family/whānau input.  Care plans viewed in resident records demonstrated service integration and were evaluated at least six monthly.  InterRAI assessments are utilised.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medication charts were reviewed at least three monthly by the general practitioner.     </w:t>
      </w:r>
    </w:p>
    <w:p w:rsidRPr="00A4268A" w:rsidP="00621629">
      <w:pPr>
        <w:spacing w:before="240" w:line="276" w:lineRule="auto"/>
        <w:rPr>
          <w:rFonts w:eastAsia="Calibri"/>
        </w:rPr>
      </w:pPr>
      <w:r w:rsidRPr="00A4268A">
        <w:rPr>
          <w:rFonts w:eastAsia="Calibri"/>
        </w:rPr>
        <w:t xml:space="preserve">An integrated activity programme is implemented for residents at rest home and hospital level of care. The programme includes community visitors and outings, entertainment and activities that meet the individual physical, cultural and cognitive abilities and preferences for each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 mix of ensuites and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Oakwoods retirement village has restraint minimisation and safe practice policies and procedures in place.  During the time of the audit there were no residents using restraints or requiring enablers.  A registered nurse is the designated restraint coordinator.  Staff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8"/>
        <w:gridCol w:w="1280"/>
        <w:gridCol w:w="101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11 staff (six caregivers, two registered nurses (RN), one enrolled nurse (EN) and two diversional therapists) confirm their familiarity with the Code.  Interviews with nine residents (eight rest home and one hospital) and two families (hospital) confirm the services being provided are in line with the Code.  The Code is discussed at resident, staff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(as appropriate) and families on admission.  Written general and specific consents were evident in the four resident files reviewed (four hospital including one younger person and four rest home level of care including one resident in the serviced studio apartments).  Caregivers and registered nurses interviewed confirm consent is obtained when delivering cares.  Advance directives identified the resident resuscitation status. Advance directives had been appropriately signed by the resident and general practitioner (GP).  The service acknowledges the resident is for resuscitation in the absence of a signed directive by the resident.  The general practitioner (GP) had discussed resuscitation with families/enduring power of attorney (EPOA) where the resident was deemed incompetent to make a decision.  Copies of EPOA are contained within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identifies that the service actively involves them in decisions that affect their relative’s lives.  Eight admission agreements were sighted for the long-term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  Staff receive training on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All staff interviewed were able to describe the process around reporting complaints.  There is a complaints register.  Verbal and written complaints are documented.  All complaints reviewed had noted investigation, timeframes and corrective actions when and where required, resolutions were in place.  Results are fed back to complainants.  Discussions with residents confirmed that any issues are addressed and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or nurse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A policy describes spiritual care and church services are conducted regularly.  All residents interviewed indicated that resident’s spiritual needs are being met when required.  The village manager is the privacy officer and has an open 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health plan and an individual’s values and beliefs policy, which includes cultural safety and awareness.  Discussions with staff confirm their understanding of the different cultural needs of residents and their whānau.  There were no residents at Oakwoods retirement village that identified as Māori.  The service has established links with local Māori and staff confirm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abuse and neglect processes cover harassment and exploitation.  Job descriptions include responsibilities of the position, ethics, advocacy and legal issues.  The orientation and employee agreement provided to staff on induction includes standards of conduct.  All residents interviewed reported that the staff respected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Staff interviewed had a sound understanding of principles of aged care and stated that they feel supported by the management team.  Staffing policies include pre-employment and the requirement to attend orientation and ongoing in-service training.  Residents and families interviewed spoke positively about the care and support provided.  The service has been successful in reducing falls and improving the quality of life for residents through two quality improvement projects.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that they are notified of any changes in their family member’s health status.  A residents/relatives meeting occurs every four months and issues arising from the meeting are communicated to staff.  Any issues raised from these meetings are investigated by the village manager and there was evidence of implemented corrective actions.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Oakwoods Retirement village is owned and operated by the Arvida Group.  The service provides care for up to 83 residents at hospital and rest home level care.  This includes 35 serviced studio apartments that are certified for rest home level care.  Forty-eight beds are certified for dual-purpose (hospital and rest home).  On the day of the audit, there were 50 residents in total (24 residents at rest home level of which two reside in the serviced studio apartments and 26 residents at hospital level).  There were no respite residents.  There was one younger person’s resident.  All other residents were admitted under the aged related residential care contract (ARRC).  A further eight serviced studio apartments located on the first floor were assessed as suitable for rest home level of care residents.  A respite care room on the ground floor within the serviced studio apartment area was assessed as suitable for rest home level of care only. The audit also included verifying the service as suitable to provide medical level care.  There is adequate staffing, equipment and allied health input into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village manager, who has been in the role for eight years.  The village manager is supported by a nurse manager (RN), who has been in the position for seven years.  The village manager reports to the general manager operations on a variety of operational issues and provides a monthly report.  Arvida has an overall business/strategic plan.  Oakwoods Retirement village has a facility quality and risk management plan in place for the current year and business goals plan for 1 April 2015 – 31 March 2017.  The organisation has a philosophy of care, which includes a mission statement.  Oakwoods retirement village is currently transitioning to the Arvida Group quality management systems and Arvida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nurse manager have completed relevant training of over eight hours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nurse manager is in charge.  Support is also provided by the general manager operations and the general manager wellness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Oakwoods retirement village.  Interviews with staff confirmed that there is discussion about quality data at various staff meetings.  The nurse manager advised that she is responsible for providing oversight of the quality programme on site, which is also monitored at organisational level.  The quality and risk management programme is designed to monitor contractual and standards compliance.  The site-specific service's policies are being transitioned over to the Arvida Group polices, which will be reviewed at least every 2 years across the group.  Head office sends new/updated policies.  Staff have access to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that is regularly reviewed.  Restraint and enabler use (when used) is reported within the quality and clinical staff meetings.  Falls prevention strategies are in place that includes the analysis of falls incidents and the identification of interventions on a case-by-case basis to minimise future falls.  The internal audit programme continues to be implemented and all issues identified had corrective action plans and resolutions. All staff interviewed could describe the quality programme corrective action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staff training programme that is implemented and based around policies and procedures and records of staff attendances maintained.  Infection Control programme is implemented and all infections are documented monthly.  Residents/relatives are surveyed to gather feedback on the service provided and the outcomes are communicated to residents, staff and families.  The 2015 resident/relative survey overall result shows satisfaction with services provided.  The 2016 survey was conducted in July 2016, however there were only six survey responses returned, which was deemed not enough to give a realistic overall survey result.  Advised that the 2016 survey is to be repeated in October 2016.  Resident/family meetings occur every four months and resident and families interviews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nurse manager investigates accidents and near misses and analysis of incident trends occurs.  There is a discussion of incidents/accidents at staff meetings including actions to minimise recurrence.  An RN conducts clinical follow-up of residents.  Twelve incident forms reviewed demonstrated that appropriate clinical follow-up and investigation occurred following incidents.  Discussions with the village manager confirmed that there is an awareness of the requirement to notify relevant authorities in relation to essential notifications.  Three section 31 incident notification forms (sighted) were completed in the past 18 months.  All three matters were relating to fall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Seven staff files were reviewed (one nurse manager, one RN, two caregivers, one cleaner/laundry, one diversional therapist and one chef) and there is evidence that reference checks were completed before employment was offered.  Annual staff appraisals were evident in all staff files reviewed.  Completed orientation is on files and staff described the orientation programme.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2015 has been completed and the plan for 2016 is being implemented.  Staff are supported to complete an aged care education programme with a dedicated aged care programme training coordinator.  Interview with staff confirmed a range of education was provided in a variety of formats two to three times per month.  The village manager and nurse manager are able to attend external training, including sessions provided by the local DHB.   Discussions with the caregivers and the RNs confirmed that ongoing training is encouraged and supported by the service.  Eight hours of staff development or in-service education has been provided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Oakwoods retirement village has a weekly roster in place which provides sufficient staffing cover for the provision of care and service to residents.  The roster has sufficient staff rostered on to cater for the resident’s level of care.  There is at least one registered nurse on duty at all times.  The full time nurse manager is also a registered nurse.  Caregivers, and residents and family interviewed advised that sufficient staff are rostered on for each shift.  All registered nurses have been trained in first aid and CPR.  </w:t>
            </w:r>
          </w:p>
          <w:p w:rsidR="00EB7645" w:rsidRPr="00BE00C7" w:rsidP="00BE00C7">
            <w:pPr>
              <w:pStyle w:val="OutcomeDescription"/>
              <w:spacing w:before="120" w:after="120"/>
              <w:rPr>
                <w:rFonts w:cs="Arial"/>
                <w:b w:val="0"/>
                <w:lang w:eastAsia="en-NZ"/>
              </w:rPr>
            </w:pPr>
            <w:r w:rsidRPr="00BE00C7">
              <w:rPr>
                <w:rFonts w:cs="Arial"/>
                <w:b w:val="0"/>
                <w:lang w:eastAsia="en-NZ"/>
              </w:rPr>
              <w:t>In the hospital/rest home, there is a RN rostered on every shift with eight caregivers in the morning, five caregivers in the afternoon and two caregivers on at night. One of the night caregivers covers the serviced apartment residents.  In the serviced apartments, there is an EN rostered on the morning with the rest home/hospital RN covering the afternoon and also at night.  There are also two caregivers rostered in the morning and two caregivers in the afternoon.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levels of care are   provided for families and residents prior to admission or on entry to the service.  All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(RNs, enrolled nurse and a senior caregiver) have been assessed for competency on an annual basis.  Caregivers complete a competency around the checking of medications.  Annual education around safe medication administration has been provided by the pharmacist.  Monthly delivery of medication packs is checked against the medication charts by the RN on duty, as evidenced on the signing sheet.   Medication fridges are checked daily and are maintained within the acceptable temperature range.  All eye drops and ointments were dated on opening.  Standing orders are not used.  There were two rest home residents self-medicating who had self-medicating competencies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(eight hospital and eight rest home) reviewed had photo identification, allergy status, and had been reviewed by the GP at least three monthly.  Not all medications prescribed were individually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by qualified chefs.  The chef on duty is supported by a morning and afternoon kitchenhand daily.  Food services staff have attended food safety training.  The eight weekly seasonal menu has been reviewed by a dietitian.   Cultural preferences and special diets are met.  Resident dislikes are known and accommodated.  The chef receives a resident dietary profile for new and respite care residents, and notified of any dietary changes.  Meals are plated for hospital residents and transported to the hospital dining room in hot boxes.  Insulated lids are used to ensure meals are delivered at an acceptable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daily.  Perishable foods sighted in the fridges were dated.  The dishwasher is checked regularly by the chemical supplier.  Staff have received training in chemical safety.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Long-term care plans reviewed were completed within 21 days of admission and evaluated six monthly, or earlier due to health changes.  All eight files reviewed including the younger person file included InterRAI assessment notes and summaries.  Resident needs and supports are identified through available information such as discharge summaries, medical notes and in consultation with significant others.  The resident needs, goals and supports were documented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Support needs as assessed were included in the long-term care plans reviewed.  Short-term care plans are used for changes to health status and have either been resolved or if ongoing transferred to the long-term care plan.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healthcare professionals involved in the care of the resident including physiotherapist, podiatrist, hospice, dietitian and mental health services for the older person.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is documented evidence on the family/whānau contact form in each resident file that evidences family were notified of any changes to their relative’s health including (but not limited to) accident/incidents, behaviours, infections, health professional visits, referrals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Wound assessment and treatment forms, ongoing evaluation form and evaluation notes were in place for six residents for skin tears, one facility acquired stage two pressure injury and one community acquired vascular ulcer.  The service has a wound nurse who has attended external training on wound care.  There is evidence of wound nurse specialist involvement in wound management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Monitoring occurs for weight, vital signs, blood glucose, and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qualified diversional therapists (DT).  One is based in the rest home and works 21 hours a week over four days and the other, 20 hours a week over three days of the week for the serviced studio apartments.  Both DTs have current first aid certificates.  The programme is delivered Monday to Friday with both DTs on-site three days a week offering a choice of activities for residents to attend.  The activity programme is integrated and activities occur in the rest home and hospital lounges.  The activity team provide individual and group activities that meets the abilities and preferences of the residents including exercises (link 1.1.8.1), pet therapy, walks, entertainment, celebration of themes and events, inter-home competitions and weekly outings for rest home and hospital residents.  A weekly exercise session followed by social interaction has recently increased to three sessions per week at resident’s request.  A beauty therapist visits weekly.  One-on-one activities such as individual walks, reading and chats and hand massage occur for residents who are unable to participate or choose not to be involved in group activities.  Church services are held on-site weekly and residents are supported to attend their own churches in the community. There are a number of volunteers, including eight to 10 village residents involved in the programme, and a young musician who entertains.  Community links include the library and shopping.  The younger person attends Club 50.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Individual activity plans were seen in all resident files reviewed.  The activity team are involved in the six monthly multidisciplinary review.  The service receives feedback and suggestions for the programme through surveys and quarterly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multidisciplinary team at least six monthly or earlier for any health changes.  Written evaluations identified if the resident/relative desired goals had been met or unmet.  Family are invited to attend the MDT review and are informed of any changes if unable to attend.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Chemicals are stored safely throughout the facility.  All chemical bottles have manufactures labels.  Personal protective clothing is available for staff and was seen to be worn by staff when carrying out their duties on the day of audit. Staff have completed chemical safety training provided by the chemical supplier.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December 2016.  All dual-purpose beds are on the ground floor with studio apartments on the ground and first floor.  There is stair and lift access between the floors. The care facility has been refurbished including all bedrooms, lounges and corridors.  New furniture has been purchased and designed as suitable for older residents.  Grounds and gardens have been landscaped.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maintenance manager who is supported by anther full-time maintenance person.  They alternate weekend’s on-call.  The maintenance manager is a health and safety representative on the health and safety committee.  The maintenance team ensure daily maintenance requests are addressed and a planned maintenance schedule is maintained.  Essential contractors are available 24 hours.  Electrical testing is completed annually by an external contractor.  Annual calibration and functional checks of medical equipment including hoists, is completed by an external contractor.  The maintenance team completes regular visual and physical checks of transferring equipment, beds and call bells.  Hot water temperatures in resident areas are monitored monthly.  The hospital wing had the hot water system modified and all tempering valves replaced due to variances in temperature readings up to 50 degrees Celsius.  Recordings are now stable in both the rest home and hospital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and sufficient space for residents to safely mobilise using mobility aids or for the use of hospital recliners on wheels.  There is safe access to the outdoor areas and internal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rest home and hospital wings have hand basins.  There is a mix of rooms with toilet and hand basin and shared shower/toilet and hand basin ensuites.  Ensuite toilets and shower facilities are of an appropriate size and design to meet the needs of the residents. There are communal toilets and large shower rooms located near rooms without showers.  The communal facilities have privacy curtains and slide signs to indicate vacant or engaged,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 care staff respect the residents’ privacy when attending to their personal cares.  Eight studio apartments (on the first floor) assessed for rest home level of care have full ensuites.  The ground floor respite room assessed for rest home level of care (within the studio apartment wing) has a full ensuite.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adequate room to safely manoeuvre mobility aids and transferring equipment such as hoists in the resident bedrooms (all dual-purpose) within the care facility.  There is sufficient space in the respite care room and the eight two-bedroomed studio apartments assessed for rest home level care.  The respite care room is centrally located on the ground floor.  Residents and families are encouraged to personalise bedrooms.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wing has a large main lounge with a rural view and an open plan dining room and kitchenette.  There are separate hospital lounges and two dining areas for hospital residents.  There are several seating alcoves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are accessible to residents.  Care staff assist or transfer residents to communal areas for dining and activities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and cleaning staff on duty seven days a week.  The laundry and cleaning staff have completed chemical safety training, and laundry and cleaning processes.  The laundry has an entry and exit door.  The cleaner’s trolleys are stored in a locked area when not in use.  Staff were observed taking their caddy of chemicals into rooms when cleaning.  Internal audits monitor the effectiveness of the cleaning and laundry processes.  The chemical supplier conducts quality checks on the effectiveness of washing and cleaning processes.  The care facility has two sluice rooms (rest home and hospital wings).  Personal protective equipment was readily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(three BBQs).  Short-term backup power for emergency lighting is in place.  A minimum of one person trained in first aid and cardiopulmonary resuscitation (CPR) is available at all times.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and safe ventilation.  Underfloor heating and heat pumps provide an environment that is maintained at a safe and comfortable temperature.  The residents and family interviewed confirmed temperatures were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infection control coordinator who has been in the role two years and has a job description that outlines the responsibility of the role.  The infection control, and health and safety combined committee meet monthly and an infection control report is provided for staff and management.  The infection control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were appropriately placed throughout the facility.  Residents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infection control education within the Arvida group and though attendance at infection control education provided by an infection control consultant and conference.  There are adequate resources to implement the infection control programme for the size and complexity of the organisation.  The infection control coordinator and infection control committee have good support from the Arvida Group head office, the infection control nurse specialist at the DHB, laboratory technician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transitioned over to the Arvida Group Infection Control Policies August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and symptoms of infection.  Short-term care plans are used for infections.  Surveillance of all infections is entered onto a monthly infection summary.  This data is monitored and evaluated monthly and annually.  Outcomes and actions are discussed at facility meetings.  Meeting minutes are available in the nurses’ station and staff office.  Benchmarking occurs within the Arvida group.  Oakwoods has maintained low rates of infections.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During the audit there were no residents using restraints or requiring enablers.  Restraint minimisation is overseen by the nurse manager, who is the restraint coordinator.  The nurse manager states that any restraint would be used only when absolutely necessary and as a last resort.  Staff education on restraint minimisation and management of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6"/>
        <w:gridCol w:w="1280"/>
        <w:gridCol w:w="7015"/>
        <w:gridCol w:w="130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Monthly delivery of medication packs is checked against the medication charts by the RN on duty, as evidenced on the signing sheet.   Administration procedures were observed to be administered by the staff as per policy.  Medication fridges are checked daily and are maintained within the acceptable temperature range.  Medication is stored appropriately and expired medication is returned to pharmacy for disposal.  Four of six medication charts met prescribing requirements with each medication dated at the time of prescribing.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of 16 medications charts used “dittos” for dates.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each medication prescribed is dated.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6"/>
        <w:gridCol w:w="1280"/>
        <w:gridCol w:w="2758"/>
        <w:gridCol w:w="80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1) The diversional therapist  suggested establishing a ‘Move &amp; Groove Club’ in the care facility. The club would focus on physical, cognitive &amp; social stimulation for the residents. The aim is for residents to achieve a sense of belonging and enjoyment and exercises would improve physical flexibility and reduce falls while the mental &amp; social stimulation will improve confidence and self-worth.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service identified that residents with polypharmacy (medications over five) were at risk of falls.  Reducing polypharmacy project commenced in February 2016 with the aim of reducing falls and improving resident safety and quality of life.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1) The DT attended a three-hour exercise training, giving her more skills to provide and organise the exercise programme. She is also attending the cognitive stimulation therapy workshop in November 2016 to be able to provide ongoing exercise and activity sessions for residents with memory loss.  The small group exercise and socialisation sessions commenced with five members in February 2016 and now has 12 members attending the Monday sessions.  The Monday sessions are in addition to the daily larger group exercises.  A survey of seven residents who regularly attended ‘Move &amp; Groove’ club all stated they felt more confident and had improved strength and balance and enjoyed the socialisation of a small group session.  Data collected evidenced reduced falls and improved mobility that has given residents a feeling of self-worth and independence such as requiring one-person supervision for walking (previously two-person supervision), being able to walk further, independent with meals due to increased strength in hands.  The ‘Move &amp; Groove’ quality initiative has been successful in improving muscle strength and balance.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registered nurses identified residents who were falls risk and on polypharmacy.  A meeting was held with general practitioners (GPs) to discuss reviewing medications and reducing polypharmacy.  The house GP responded positively and reviewed the 16 residents under their care who were on more than five medications.  All 16 residents’ medications were reduced with positive outcomes as evidenced on the individual resident database.  Falls were reduced for residents and residents became more alert and actively engaged in activities.  One resident at hospital level on 11 medications reduced to six medications, now mobilising independently and re-assessed to rest home level. The reduction of polypharmacy has been successful in reducing falls risk and improving the quality of life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evidences a reduction of falls from 25 falls February 2016 to eight falls July 2016.  New admissions with high falls risk saw an increase in falls to 17 in August 2016.  The falls had reduced to nine in September 2016.  The service has been successful in reducing falls through the ‘Move &amp; Groove’ club and the polypharmacy project.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commenced a quality project in March 2015 to reduce chest infections and urinary tract infections (UTIs) to improve resident health and remain below the Arvida group average.  The data for chest infections and UTIs for the period April 2015 to March 2016 evidences reduction of infections below the Arvida benchmark for chest infections and UTIs.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 infection control coordinator identified trends and analysed monthly statistics for chest infections.  Residents were leaving windows open during the winter for fresh air.  The comfortable sleeping temperature is identified at 18 degrees Celsius.  Staff were informed through meetings of the need to check windows were closed and the heating set at 18 degrees Celsius.  An increase in chest infections in 2015 were identified due to staff being unwell on duty and a staff sickness policy was enforced.  Staff were encouraged to receive the flu vaccine and on-site sessions were arranged at various times to suit staff rather than staff attending the GP surgery.  This was successful with 90% of the staff receiving the flu vaccine in 2016 compared to 70% in 2015.  Residents with sore throats or signs of a cold were immediately given alternative measures, such as lemon honey drinks and seen by the GP for any ongoing symptoms.  For the period April 2015 to March 2016 the Arvida average for chest infections was 13 with Oakwoods average being six and maintained below the group average.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increase in UTIs was identified in individual residents for which there were care plan interventions that were successful in reducing UTIs.  The infection control coordinator implemented an action plan to reduce all UTIs for resident comfort and wellbeing and remain under the Arvida average.  The action plan included increased education around perineal hygiene, catheter cares, and hand hygiene audits, additional fluid rounds and introduction of lemon water to encourage fluid intake and the introduction of anti-bacterial wipes in every shower to wipe down shower chairs between use and the use of vinegar spray on floors between residents.  For the period April 2015 to March 2016 the Arvida average for UTIs was 21 with Oakwoods average being nine and maintained below the group average.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Oakwoods Lifecare (2012) Limited - Oakwoods Retirement Village</w:t>
    </w:r>
    <w:bookmarkEnd w:id="58"/>
    <w:r>
      <w:rPr>
        <w:rFonts w:cs="Arial"/>
        <w:sz w:val="16"/>
        <w:szCs w:val="20"/>
      </w:rPr>
      <w:tab/>
      <w:t xml:space="preserve">Date of Audit: </w:t>
    </w:r>
    <w:bookmarkStart w:id="59" w:name="AuditStartDate1"/>
    <w:r>
      <w:rPr>
        <w:rFonts w:cs="Arial"/>
        <w:sz w:val="16"/>
        <w:szCs w:val="20"/>
      </w:rPr>
      <w:t>28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