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Fraser Manor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Fraser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Fraser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2016</w:t>
      </w:r>
      <w:bookmarkEnd w:id="7"/>
      <w:r w:rsidRPr="009418D4">
        <w:rPr>
          <w:rFonts w:cs="Arial"/>
        </w:rPr>
        <w:tab/>
        <w:t xml:space="preserve">End date: </w:t>
      </w:r>
      <w:bookmarkStart w:id="8" w:name="AuditEndDate"/>
      <w:r w:rsidR="00A4268A">
        <w:rPr>
          <w:rFonts w:cs="Arial"/>
        </w:rPr>
        <w:t>17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Fraser Manor continues to provide rest home level care to a maximum of 30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provider’s contract with the District Health Board. There have been no significant changes to the scope or size of the service since the previous audit in 2014. The residents and a family member interviewed on site and a general practitioner interviewed by telephone expressed their satisfaction with the care and quality of services provided.</w:t>
      </w:r>
    </w:p>
    <w:p w:rsidRPr="00A4268A">
      <w:pPr>
        <w:spacing w:before="240" w:line="276" w:lineRule="auto"/>
        <w:rPr>
          <w:rFonts w:eastAsia="Calibri"/>
        </w:rPr>
      </w:pPr>
      <w:r w:rsidRPr="00A4268A">
        <w:rPr>
          <w:rFonts w:eastAsia="Calibri"/>
        </w:rPr>
        <w:t xml:space="preserve">There were no areas for improvement identified during this audit and all the standards assessed were fully attained.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demonstrates that it communicates effectively with its residents, their family and allied health professionals when required, in a timely and open manner. Review of the complaints received since the previous audit showed that these were managed effectively. There have been no known complaints to the Office of the Health and Disability Commissioner (HDC), no coroner’s inquests or issues based audits. One matter has involved the nationwide advocacy service. The residents interviewed knew about the complaints process and said they had no hesitation in approaching any staff about their concerns, including the owner and the facility manager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have been no changes to the governance structure or within senior management. The owner/operator who is on site most days, has an in-depth knowledge of the services provided and how they impact residents due to frequent and clear communication with the facility manager. Quality and risk management systems were being maintained with all areas of service delivery being regularly monitored. Adverse events are reliably reported, and investigated to determine ways that recurrence could be prevented. People impacted by an adverse event are notified (eg, general practitioners, families). The owner and the facility manager understand their obligations with regard to essential notifications. </w:t>
      </w:r>
    </w:p>
    <w:p w:rsidRPr="00A4268A">
      <w:pPr>
        <w:spacing w:before="240" w:line="276" w:lineRule="auto"/>
        <w:rPr>
          <w:rFonts w:eastAsia="Calibri"/>
        </w:rPr>
      </w:pPr>
      <w:r w:rsidRPr="00A4268A">
        <w:rPr>
          <w:rFonts w:eastAsia="Calibri"/>
        </w:rPr>
        <w:t xml:space="preserve">Staff were being recruited and managed effectively. Staff training in relevant subject areas has been occurring regularly. There were adequate numbers of skilled and experienced staff on site to meet the needs of the resident group.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processes for assessment, planning, provision, evaluation, review and exit are provided within time frames that safely meet the needs of the resident.  </w:t>
      </w:r>
    </w:p>
    <w:p w:rsidRPr="00A4268A" w:rsidP="00621629">
      <w:pPr>
        <w:spacing w:before="240" w:line="276" w:lineRule="auto"/>
        <w:rPr>
          <w:rFonts w:eastAsia="Calibri"/>
        </w:rPr>
      </w:pPr>
      <w:r w:rsidRPr="00A4268A">
        <w:rPr>
          <w:rFonts w:eastAsia="Calibri"/>
        </w:rPr>
        <w:t>All residents have interRAI assessments completed and individualised care plans related to this programme.  When there are changes to the resident’s needs a short term plan is developed and integrated into a long term plan, as needed.   All care plans are evaluated at least six monthly.  The service meets the contractual time frames for all short and long term care plans.  The service is coordinated in a manner that promotes continuity in service delivery and promotes a team approach to care delivery.</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all interior and exterior areas are being maintained as safe and suitable. There have been some upgrades and improvements to the property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On the day of audit there was one resident who required bed rails to be up when sleeping. There were no enablers in use. There was evidence that assessment, consent, approval and monitoring and review occurs in relation to these. Staff training around safe restraint and enabler use continues to be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and staff and resident interviews showed that the service is managing all complaints received according to its policy and right 10 of the Code.  The complaints register was up to date. Residents confirmed knowledge of the ways to lodge a complaint. The 15 complaints logged since the previous audit show that each matter was investigated immediately, and managed effectively for resolution with all parties. There was ongoing communication with all people involved. One matter involved the external advocacy service at a resident’s request. The resident concern was interviewed and confirmed that the matter is now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promote an environment of good communication. Policies and procedures are in place if the interpreter services are needed to be accessed but this has not been required since the previous audit. A family member interviewed said they are kept informed of the resident's status, including any events adversely affecting the resident. Evidence of open disclosure was documented on the accident/incident form and in the residents' progress notes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27 residents who were all over the age of 65 years. Interview with the nurse manager and owner and review of documents showed the quality, risk and business plans have current goals. The owner is on site most days and is kept informed about service delivery and organisational performance. </w:t>
            </w:r>
          </w:p>
          <w:p w:rsidR="00EB7645" w:rsidRPr="00BE00C7" w:rsidP="00BE00C7">
            <w:pPr>
              <w:pStyle w:val="OutcomeDescription"/>
              <w:spacing w:before="120" w:after="120"/>
              <w:rPr>
                <w:rFonts w:cs="Arial"/>
                <w:b w:val="0"/>
                <w:lang w:eastAsia="en-NZ"/>
              </w:rPr>
            </w:pPr>
            <w:r w:rsidRPr="00BE00C7">
              <w:rPr>
                <w:rFonts w:cs="Arial"/>
                <w:b w:val="0"/>
                <w:lang w:eastAsia="en-NZ"/>
              </w:rPr>
              <w:t>The nurse/facility manager’s personnel records reviewed confirmed ongoing performance development in subject areas related to the role. The owner and facility manager are continuing to liaise with other age care providers in the area and have regular contact with their DHB points of contact.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onsite records and staff interviews confirmed that Fraser Manor is maintaining its quality and risk management systems. Policies and procedures are being updated as required to meet legislation and current best practice. Residents confirmed they are consulted about services and are being kept informed at their regular residents’ meetings. All quality data continues to be analysed by the facility/nurse manager and reported to staff at their meetings. There is documented evidence of corrective actions on incident/accident reports, on the internal audit tools where a deficit or gap is identified, in the hazards register, and in complaints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owner revealed how the organisation's annual quality plan, business plan and associated emergency plans identify all actual and potential risk to the business, service delivery, staff and/or visitors’ health and safety. The facility manager and owner communicate environmental risks to visitors, staff and residents through notices, or verbally, depending on the nature of the risk. Review of staff meeting minutes showed that health and safety including the hazard register and risks related to residents are discussed. The staff members interviewed said they feel fully informed.  Fire drills are occurring at least six monthly, the most recent occurred in September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revealed that the adverse event reporting system is known by staff and is co-ordinated by the nurse manager. The event records showed that reporting occurs immediately and is investigated to determine cause and prevent or minimise recurrence. The incident form also records who (for example, family, General Practitioner) was notified and when. This was confirmed during telephone interview with the GP. The records showed that analysis of the incident and accidents data was occurring reliably at monthly intervals and that this identified positive or negative trends. There was evidence in staff meeting minutes that trends are reported and discussed along with methods for addressing unwanted trends. Interviews confirmed that the facility manager and owner/operator understand their obligations about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event requiring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being effectively managed. The skills and knowledge required is documented in position descriptions and employment agreements. The nurse manager and a cross section of staff interviewed confirmed they understand their roles, delegated authority and responsibilities. Every job applicant is reference checked and police checked. Staff records contained evidence of curriculum vitaes (CVs), educational achievements, and the RNs files had copies of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staff member interviewed confirmed they had completed orientation which included essential emergency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staff performance appraisals are being conducted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sample of five staff files reviewed confirmed that staff are maintaining knowledge and skills in emergency management, first aid certificates and competencies in medicine administration and attend regular training. Fraser Manor supports its caregivers to achieve qualifications in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and interviews with staff confirmed there is an appropriate number of staff on site for all shifts and a RN available on site or on call 24 hours a day seven days a week. Residents interviewed are satisfied with the availability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described the processes to ensure safe administration of all medications.  This included competency requirements, prescribing, recording, the process when an error occurs, as well as definitions for ‘over the counter’ medications that may be required by residents.   At the time of audit two residents were self-administering medications and this was in the resident’s room in a secure location.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 which is locked when not occupied.  A locked cupboard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charting and management system.  The 10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all staff responsible for medicine management.  The registered nurse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The cook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that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also offers residents a variety of cereals for breakfast, a main option for lunch including a desert and a lighter menu option for dinner also supporting individual residents with different cultural food needs if required.   All main meals are supported by morning and afternoon tea which includes home baking.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and served in the adjacent dining room.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choices/cultural preferences of the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activity co-ordinator who works a two week rotation, Monday – Friday and alternative Saturdays, a total of 30 hours per week, and attends regular education/support group sessions related to their role.   This role is supported by a health care assistant who works alternating days.  The weekly activities plan/calendar sighted was developed based on the resident’s individual needs and interests and can be easily adapted and changed depending on the resident’s physical ability, interest and reaction at the time. The activities staff advertises the upcoming activities on the calendar by providing this to residents on the notice board in the facility.  The activity co-ordinator visits all the residents each morning to encourage them to partake in the day’s activities.   Regular activities include daily newspaper reading and different types of exercises, church services, regular visiting entertainment and regular trips out with the support of taxis.  The residents also partake once a month in the community, a 65+ club, which involves different activities.  There are also specific men and lady’s outings.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throughout the day continue to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is not responding to the services/interventions being delivered, are discussed with their nurse practitioner (NP) and family/whanau.  Short term care plans were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of warrant of fitness which expires in June 2017. Hazard monitoring and preventative maintenance is occurring. New carpet and bathroom upgrades have happened since the previous audit. All external areas investigated were safe for use by the consumer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Monitoring is discussed in management meetings to reduce and minimise risk and ensure residents’ safety.  The infection coordinator completes a monthly and yearly surveillance report. The service monitors skin and soft tissue wounds, pressure injuries, urinary tract infections, oral, eyes, ear, gastroenteritis infections, and scabies.    Antibiotic use is also monitored.  The monthly analysis of the infections includes comparison with the previous month, reason for increase or decrease, trends and actions taken to reduce infections.  This information is fed back and discussed in staff and where appropriate family and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Public Health office and district health board was notified on the 18 March 2014 regarding a gastroenteritis outbreak.  Twelve (12) residents and eight (8) staff were affected.  A plan was developed, isolation of residents/staff, and health warning signs/communication were put in place.  Cleaning, laundry and personal hygiene were emphasized.  The facility was reopened on the 26 March 2014.  A corrective action plan was sighted meeting all legislation and standard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monthly reports identify two residents who are chronically unwell and frequently require antibiotics. Short term and long term care plans sighted evidence interventions in place to reduce and minimise the risk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restraint (bed rails) in use on the day of the audit for which assessment and consent had been obtained. There were no enablers in use. Education and personnel records showed that staff were attending ongoing education related to restraint minimisation and prevention.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Fraser Manor Limited</w:t>
    </w:r>
    <w:bookmarkEnd w:id="58"/>
    <w:r>
      <w:rPr>
        <w:rFonts w:cs="Arial"/>
        <w:sz w:val="16"/>
        <w:szCs w:val="20"/>
      </w:rPr>
      <w:tab/>
      <w:t xml:space="preserve">Date of Audit: </w:t>
    </w:r>
    <w:bookmarkStart w:id="59" w:name="AuditStartDate1"/>
    <w:r>
      <w:rPr>
        <w:rFonts w:cs="Arial"/>
        <w:sz w:val="16"/>
        <w:szCs w:val="20"/>
      </w:rPr>
      <w:t>17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