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Ilam Lifecare Limited - Ilam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Ilam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Ilam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2016</w:t>
      </w:r>
      <w:bookmarkEnd w:id="7"/>
      <w:r w:rsidRPr="009418D4">
        <w:rPr>
          <w:rFonts w:cs="Arial"/>
        </w:rPr>
        <w:tab/>
        <w:t xml:space="preserve">End date: </w:t>
      </w:r>
      <w:bookmarkStart w:id="8" w:name="AuditEndDate"/>
      <w:r w:rsidR="00A4268A">
        <w:rPr>
          <w:rFonts w:cs="Arial"/>
        </w:rPr>
        <w:t>8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part of this audit, the service was assessed as suitable to provide medical services.  Seven rest home rooms located near the rest home nurses station were assessed as suitable for dual-purpose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Ilam Lifecare rest home and hospital and retirement village is part of the Arvida aged care residential group. The service provides dementia, rest home and hospital level of care for up to 76 residents in the care centre and up to 47 rest home level of care in serviced apartments.  On the day of the audit there were 123 residents which included 14 residents at rest home level in serviced apartments.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An experienced village manager, who is a registered nurse is responsible for the daily operations of the service.  She is supported by clinical manager, training coordinator, quality manager  and stable workforce.  </w:t>
      </w:r>
    </w:p>
    <w:p w:rsidRPr="00A4268A">
      <w:pPr>
        <w:spacing w:before="240" w:line="276" w:lineRule="auto"/>
        <w:rPr>
          <w:rFonts w:eastAsia="Calibri"/>
        </w:rPr>
      </w:pPr>
      <w:r w:rsidRPr="00A4268A">
        <w:rPr>
          <w:rFonts w:eastAsia="Calibri"/>
        </w:rPr>
        <w:t>The residents and relatives spoke positively about the care and services provided at Ilam Lifecare.</w:t>
      </w:r>
    </w:p>
    <w:p w:rsidRPr="00A4268A">
      <w:pPr>
        <w:spacing w:before="240" w:line="276" w:lineRule="auto"/>
        <w:rPr>
          <w:rFonts w:eastAsia="Calibri"/>
        </w:rPr>
      </w:pPr>
      <w:r w:rsidRPr="00A4268A">
        <w:rPr>
          <w:rFonts w:eastAsia="Calibri"/>
        </w:rPr>
        <w:t xml:space="preserve">This certification audit identified areas for improvement relating to progress notes and care plans.  </w:t>
      </w:r>
    </w:p>
    <w:p w:rsidRPr="00A4268A">
      <w:pPr>
        <w:spacing w:before="240" w:line="276" w:lineRule="auto"/>
        <w:rPr>
          <w:rFonts w:eastAsia="Calibri"/>
        </w:rPr>
      </w:pPr>
      <w:r w:rsidRPr="00A4268A">
        <w:rPr>
          <w:rFonts w:eastAsia="Calibri"/>
        </w:rPr>
        <w:t xml:space="preserve">The service has been awarded a continuous improvement rating around activities for rest home residents in the serviced apartments and the reduction of challenging behaviours in dementia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Ilam Lifecare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and followed through.  A comprehensive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completes the assessments, care plans and evaluations with the resident and/or family/whānau input.  Care plans viewed in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medications complete education and medication competencies.  The medication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A separate activity programme is implemented for residents at each level of care including rest home residents in serviced apartments. The programme includes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Additional nutritious snacks are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 mix of ensuites and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Ilam Lifecare has restraint minimisation and safe practice policies and procedures in place.  Staff receive training around restraint minimisation and the management of challenging behaviour.  During the audit four residents were using restraints and there were no residents using enablers.  The clinical manager is the designated restraint coordinator.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5"/>
        <w:gridCol w:w="1280"/>
        <w:gridCol w:w="91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eight caregivers, four registered nurses (RN) and diversional therapists confirm their familiarity with the Code.  Interviews with seven residents (four rest home and three hospital) and seven families (four hospital, one rest home in serviced apartment and two dementia care) confirm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complaints form available.  Information about complaints is provided on admission.  Interview with residents demonstrated an understanding of the complaints process.  All staff interviewed were able to describe the process around reporting complaints.  There is a complaints register.  Verbal and written complaints are documented.  All complaints reviewed had noted investigation, timeframes and corrective actions, when and where required and resolutions were in place.  Results are fed back to complainants.  A complaint made to the Health and Disability Commission in January 2016 was investigated with corrective actions put in place and resolutions completed.  A letter from the Health and Disability Commission in March 2016 confirmed that no further action would be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There is a policy that describes spiritual care.  Church services are conducted regularly.  All residents interviewed indicated that residents’ spiritual needs are being met when required.  The village manager is the privacy officer and has an open 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One resident identified as Māori on the days of the audit.  There is a Māori health plan.  Cultural and spiritual practice is supported and identified needs are incorporated into the care planning process and review as demonstrated in the resident files sampled.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in consultation with the resident (if appropriate) and/or their family/whānau.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The service has successfully reduced the number of challenging behaviours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every three months and issues arising from the meeting are communicated to staff.  Any issues raised from these meetings are investigated by the village manager and there was evidence of implemented corrective actions.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Ilam Lifecare is owned and operated by the Arvida Group.  The service is certified to provide rest home, hospital and dementia level care in dedicated purpose built wings for up to 123 residents including rest home level care across 22 rest home beds, and 47 LTO serviced apartments; hospital level care across 34 hospital beds; and dementia level care across 20 dementia beds.  Seven rest home bedrooms have been assessed as suitable for dual-purpose.   On the day of the audit occupancy was 89 residents including 22 rest home residents, 14 rest home level care in serviced apartments, 33 hospital residents and 20 dementia level care residents (including one resident on respite care).   All residents were admitted under the aged related residential care contact (ARRC).  The service was verified as suitable to provide medical level care under their current hospital certification.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is an experienced aged care manager and RN who has held the position for five years.  The village manager is a registered nurse with postgraduate qualifications in aged care and health auditing.  She is supported by a clinical manager who has been in the role for 12 years and a quality manager who has been in the position for five years at Ilam Lifecare.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of operations and provides a monthly report.  Arvida has an overall business/strategic plan.  Ilam Lifecare has a facility quality and risk management plan in place for the current year and business goals plan for 01 April 2016 – 31 March 2017.  The organisation has a philosophy of care, which includes a mission statement.  Ilam Lifecare is currently transitioning to the Arvida Group quality management systems and Arvida policies and procedures.  The village manager has completed relevant training of over eight hours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of wellness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Ilam Lifecare.  Interviews with staff confirmed that there is discussion about quality data at various staff meetings.  The village manager advised that she is responsible for providing oversight of the quality programme on site, which is also monitored at organisational level.  The quality and risk management programme is designed to monitor contractual and standards compliance.  The site-specific service's policies are being transitioned over to the Arvida Group polices, which will be reviewed at least every 2 years across the group.  Head office sends new/updated policies.  Ilam Lifecare has implemented the Arvida Group InterRAI assessment policy.  Staff have access to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The internal audit programme continues to be implemented and all issues identified had corrective action plans and resolutions.  All staff interviewed could describe the quality programme corrective action process.  There is an annual staff training programme that is implemented and based around policies and procedures and records of staff attendances maintained.  Residents/relatives are surveyed to gather feedback on the service provided and the outcomes are communicated to residents, staff and families.  The 2016 resident relative survey overall result shows satisfaction with services provided.  Resident/family meetings occur every three months and resident and families interviews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There is a current hazard register.  Staff confirmed they are kept informed on health and safety matters at staff meetings.  The facility completed the ACC tertiary level in January 2016.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 registered nurse conducts clinical follow-up of residents.  Twelve incident forms reviewed demonstrated that appropriate clinical follow-up and investigation occurred following incidents.  Discussions with the village manager confirmed that there is an awareness of the requirement to notify relevant authorities in relation to essential notifications.  Five section 31 incident notification forms (sighted) were completed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Eleven staff files were reviewed (one village manager, one clinical manager, one quality manager, one training coordinator, two RNs, two caregivers, one cleaner, one laundry and one chef) and there is evidence that reference checks were completed before employment was offered.  Annual staff appraisals were evident in all staff files reviewed.  Completed orientation is on file and staff described the orientation programme.  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has been completed and the plan for 2016 is being implemented.  Staff are supported to complete an aged care education programme with a dedicated aged care programme training coordinator.  Interview with staff confirmed a range of education was provided in a variety of formats two to three times per month.  </w:t>
            </w:r>
          </w:p>
          <w:p w:rsidR="00EB7645" w:rsidRPr="00BE00C7" w:rsidP="00BE00C7">
            <w:pPr>
              <w:pStyle w:val="OutcomeDescription"/>
              <w:spacing w:before="120" w:after="120"/>
              <w:rPr>
                <w:rFonts w:cs="Arial"/>
                <w:b w:val="0"/>
                <w:lang w:eastAsia="en-NZ"/>
              </w:rPr>
            </w:pPr>
            <w:r w:rsidRPr="00BE00C7">
              <w:rPr>
                <w:rFonts w:cs="Arial"/>
                <w:b w:val="0"/>
                <w:lang w:eastAsia="en-NZ"/>
              </w:rPr>
              <w:t>Seventeen out of nineteen caregivers who are employed in the dementia care unit have completed their dementia specific units.  Two caregivers are in the progress to complete their dementia specific units and have commenced work in the last 12 months.  The village manager and clinical manager attend external training, including sessions provided by the local DHB.  Discussions with the caregivers and the RNs confirmed that ongoing training is encouraged and supported by the service.  Eight hours of staff development or in-service education has been provided annually.</w:t>
            </w:r>
          </w:p>
          <w:p w:rsidR="00EB7645" w:rsidRPr="00BE00C7" w:rsidP="00BE00C7">
            <w:pPr>
              <w:pStyle w:val="OutcomeDescription"/>
              <w:spacing w:before="120" w:after="120"/>
              <w:rPr>
                <w:rFonts w:cs="Arial"/>
                <w:b w:val="0"/>
                <w:lang w:eastAsia="en-NZ"/>
              </w:rPr>
            </w:pPr>
            <w:r w:rsidRPr="00BE00C7">
              <w:rPr>
                <w:rFonts w:cs="Arial"/>
                <w:b w:val="0"/>
                <w:lang w:eastAsia="en-NZ"/>
              </w:rPr>
              <w:t>The training programme is relevant for staff to deliver hospital medical services and includes education around medical conditions including palliative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Sufficient staff are rostered on to manage the care requirements for residents in the rest home, serviced apartments, dementia and hospital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are rostered on 24/7 in the hospital unit and provide afterhours and weekend call to the rest home, serviced apartments and dementia unit.  Rosters are and can be adjusted to reflect occupancy and resident acuity. The village and clinical and training managers are responsible staff recruitment and for managing the roster.  The village manager is employed full time. The quality manager works two days per week. The clinical manager works five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is an RN rostered on every shift with seven caregivers in the morning, six caregivers in the afternoon and two caregivers on at night.  One of the night caregivers covers the serviced apartment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is an RN rostered on every shift, also overseeing the serviced apartments and dementia wing in the afternoon and at night, plus two caregivers in the morning, two caregivers in the afternoon and one caregiver on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wing, there is an RN rostered on the morning shift Monday - Friday, two caregivers in the morning, two caregivers in the afternoon and one caregiver on at night.  </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apartments, there is an RN rostered on the morning (Mon-Fri) with oversite rest home RN covering the afternoon and at night, two caregivers in the morning, two caregivers in the afternoon and one hospital caregiver covering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proposes to increase the number of caregivers on each shift in the rest home as hospital level residents occupy dual-purpose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and levels of care are   provided for families and residents prior to admission or on entry to the service.  There is specific information provided for families in the dementia unit.  All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who administer medications (RNs and senior caregivers) have been assessed for competency on an annual basis.  Registered nurses have completed medication competencies that are also relevant to medical services including syringe driver training and subcutaneous fluids.  Annual education around safe medication administration has been provided.  The service introduced an electronic medication system September 2015.  There is documented evidence (on the electronic system) of medication reconciliation on delivery of medications.  Medication fridges are checked weekly and are maintained within the acceptable temperature range.  All eye drops and ointments were dated on opening.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(eight hospital, six rest home and six dementia care) reviewed met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a qualified chef.  The chef on duty is supported by morning and afternoon kitchenhands.  Food services staff have attended food safety training during orientation and ongoing through self-learning tools.  Two cooks are currently completing unit standards. The four weekly seasonal menu has been reviewed by a dietitian July 2016.   Cultural preferences and special diets are met.  Resident dislikes are known and accommodated.  The chef receives a resident dietary profile for new and respite care residents, and is notified of any dietary changes.  Likes and dislikes are known.  Special diets are accommodated including high protein, gluten free, diabetic desserts and modified foods. A dumb waiter is used for the transport of meals in hot boxes from the kitchen.  Nutritious snacks are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Perishable foods sighted in all fridges were dated.  The dishwasher is checked regularly by the chemical supplier.  Staff have received training in chemical safety.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interim assessment is undertaken within 21 days of admission and six monthly, or earlier due to health changes.  Nine of ten resident files reviewed contained InterRAI assessment notes and summaries.  One resident under respite care had an initial assessment completed but not required to have an InterRAI assessment.  Resident needs and supports are identified through available information such as discharge summaries, medical notes and in consultation with significant others and included in the long-term care plans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Not all support needs as assessed were included in the long-term care plans reviewed.  Short-term care plans are used for changes to health status and have either been resolved or if ongoing, transferred to the long-term care plan.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The three dementia care resident files reviewed had 24-hour activity plans with documented behaviours, triggers and activities to distract and de-escalate behaviours.  The long-term care included a detailed behaviour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physiotherapist, podiatrist,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nurse specialist consultation.  There is documented evidence on the family contact form in each resident file that evidences family were notified of any changes to their relative’s health including (but not limited to) accident/incidents, behaviours, infections, health professional visits, referrals and changes in medications.  Discussions with families and notifications are documented on the family/whānau/representative sheet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nine hospital residents, one rest home and one dementia care resident with wounds, including two chronic wounds.   There were no pressure injures. There is evidence of wound nurse specialist involvement in wound management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Monitoring occurs for weight, vital signs, blood glucose, and pain, challenging behaviour,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for the rest home and two DTs training, one for the hospital residents and one in the dementia care unit.  The service employed a DT for the studio apartments, which has provided improved access to activities for rest home residents.  The activity programme is implemented Monday to Friday for rest home and hospital residents and seven days a week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provide individual and group activities for each unit that meets the abilities and preferences of the residents.  There are integrated activities for all residents such as entertainers and church services.  Community links include visiting schoolchildren, inter-home bowls, shopping and visits into the community.  One-on-one activities such as individual walks, reading and chats and hand massage occur for residents who are unable to participate or choose not to be involved in group activities.  Themes and events are celebrated.  There are regular outings for all residents.  A mobility taxi is hired monthly for hospital resident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long-term resident files.  The activity team are involved in the six monthly multidisciplinary review.  The service receives feedback and suggestions for the programme through surveys and two monthly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Long-term care plans have been evaluated by the multidisciplinary team at least six monthly or earlier for any health changes.  Written evaluations identified if the resident/relative desired goals had been met or unmet.  Family are invited to attend the MDT review and are informed of any changes if unable to attend.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are stored in locked areas throughout the facility.  Personal protective clothing is available for staff and seen to be worn by staff when carrying out their duties on the day of audit.  Staff have completed chemical safety training provided by the chemical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September 2017.  The building has two levels with hospital level beds on the first floor.  Serviced apartments are on the first floor and ground floor.  The rest home and dementia care wing are on the ground floor.  There is stair and lift access between the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maintenance persons who job-share the maintenance role.  The maintenance person ensures daily maintenance requests are addressed and a planned maintenance schedule is maintained.  Essential contractors are available 24 hours.  Electrical testing is completed annually.  Annual calibration and functional checks of medical equipment including hoists, is completed by an external contractor.  The maintenance person carries out regular visual and physical checks of transferring equipment, beds and call bells.  Hot water temperatures in resident areas are monitored.  Temperature recordings reviewed were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and hospital recliners on wheels.   There is safe access the outdoor areas.  Seating and shade is provided.   There is an outdoor covered balcony area for hospital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secure access.  There is free access to safe outdoor gardens, walking pathways and an internal courtyard.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rest home and hospital wings have ensuites.  Ensuite toilets and shower facilities are of an appropriate design to meet the needs of the residents. There are toilet facilities located near communal areas with privacy locks.  Residents interviewed confirm care staff respect the residents’ privacy when attending to their personal cares.  The dementia wing resident bedrooms all have hand basins.  There are adequate numbers of communal showers and toilet facilities.   </w:t>
            </w:r>
          </w:p>
          <w:p w:rsidR="00EB7645" w:rsidRPr="00BE00C7" w:rsidP="00BE00C7">
            <w:pPr>
              <w:pStyle w:val="OutcomeDescription"/>
              <w:spacing w:before="120" w:after="120"/>
              <w:rPr>
                <w:rFonts w:cs="Arial"/>
                <w:b w:val="0"/>
                <w:lang w:eastAsia="en-NZ"/>
              </w:rPr>
            </w:pPr>
            <w:r w:rsidRPr="00BE00C7">
              <w:rPr>
                <w:rFonts w:cs="Arial"/>
                <w:b w:val="0"/>
                <w:lang w:eastAsia="en-NZ"/>
              </w:rPr>
              <w:t>Seven bedrooms in the rest home wing (assessed for dual-purpose) have sufficient space to manoeuvre a hoist within the ensuite.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to safely manoeuvre mobility aids and transferring equipment such as hoists in the resident bedrooms in each wing for each level of care.  There is sufficient space in the seven bedrooms assessed for dual-purpose to safely deliver hospital level if care including the use of hoists.  Residents and families are encouraged to personalise bedrooms.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has a large main lounge, smaller lounge, library and internet area and an activities lounge.  The bi-fold doors between the activities lounge and main lounge can open up to provide a large entertainment area.  The rest home dining room provides tea and coffee making facilities for residents and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a separate dining room with a functioning kitchenette.  The main lounge is spacious and accommodates specialised hospital lounge chairs.  There is a smaller sun lounge area and seating alcoves.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wing has seating in the main lounge designed to allow both individual and small group activities to occur.  The dining room is open plan with a safe kitchenette area.  There is a smaller lounge for quiet activities or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 staff assist or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cleaners on duty seven days a week.  The laundry and cleaning staff have completed chemical safety training and self-learning tools for laundry and cleaning processes.  The laundry has an entry and exit door.  A laundry chute in the upstairs hospital wing is used to deliver laundry bags to the laundry.  The cleaner’s trolleys are stored in a locked area when not in use. There is keypad access from the rest home wing and the dementia wing room into a shared sluice room and there is an upstairs sluice room for the hospital wing. Internal audits monitor the effectiveness of the cleaning and laundry processes.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  A minimum of one person trained in first aid and cardiopulmonary resuscitation (CPR)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and safe ventilation.  Underfloor heating provides an environment that is maintained at a safe and comfortable temperature.  The residents and family interviewed confirmed temperatures were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infection control coordinator who has a job description that outlines the responsibility of the role.  The infection control committee meet monthly and provides reports to management and staff.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infection control education within the Arvida group and through attendance at infection control education provided by an infection control consultant.  There are adequate resources to implement the infection control programme for the size and complexity of the organisation.  The infection control coordinator and infection control committee have good support from the Arvida Group head office, the infection control nurse specialist at the DHB, laboratory technician, GPs and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transitioned over to the Arvida Group infection control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and includes a self-learning tool.  Infection prevention and control is part of the staff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and symptoms of infection.  Short-term care plans are used for infections.  Surveillance of all infections is entered onto a monthly infection summary.  This data is monitored and evaluated monthly and annually.  Outcomes and actions are discussed at facility meetings.  Benchmarking occurs and graphs and are displayed for staff. If there is an emergent issue, it is acted upon in a timely manner.  There has been one outbreak in March 2016.  Documentation demonstrated the outbreak was well managed.  The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residents with four restraints (three bedrails and one chair brief support) and no residents using an enabler during the audit.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restraint minimisation and management of challenging behaviour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restraint coordinator.  Assessment and approval process for restraint use included the restraint coordinator, RNs,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assessments for residents who require restraint or enabler interventions.  These were undertaken by suitably qualified and skilled staff, in partnership with the family/whānau, in the four restraint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identify the specific interventions or strategies trialled before implementing restraint.  Approved restraints are documented.  Restraint authorisation is in consultation/partnership with the resident and family and the restraint coordinator.  Two of four residents on restraint did not have interventions documented to manage the risks associated with restraint use documented in the care plan (link 1.3.5.2).  A restraint register is in place providing an auditable record of restraint use and is completed for all residents requiring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 service has documented evaluation of restraint every month. In the files reviewed, evaluations had been completed with the resident, family/whānau and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and use, education needs and individual care plans are reviewed on a formal basis every month by the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9"/>
        <w:gridCol w:w="1280"/>
        <w:gridCol w:w="2873"/>
        <w:gridCol w:w="6534"/>
        <w:gridCol w:w="17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two rest home and two dementia level of care long-term care plans reflected the outcomes of assessments and supports required to achieve the residents desired goals.  Two of four hospital residents with restraint did not document the risks associated with restraint use in the long-term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Two hospital, one rest home and one dementia care resident’s long-term care plans did not document supports to meet the current needs of the residents as follows; a) two hospital residents assessed at high risk of pressure injury did not have appropriate pressure injury preventions documented in the long-term care plan.  The long-term care plan of one of the residents assessed at high risk of falls, did not document appropriate falls prevention strategies. b) The long-term care plan for one rest home resident did not reflect the outcome of the InterRAI assessment for falls and associated knee pain.  c) There were no documented interventions for the monitoring of oedematous legs as per GP medical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long-term care plans of two hospital residents on restraint did not identify the risks associated with restraint use.  Interviews with staff and observation of residents identified that appropriate care in managing risk is being implemented and therefore this criterion has been identified as low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long-term care plans reflect the resident clinical risks and current health status.  2) Ensure the risks associated with restraint use are documented in the long-term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13"/>
        <w:gridCol w:w="68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identified that clinical reporting to appropriate meetings has been a great improvement since last audit.  They have implemented facility, clinical managers and training coordinator reports for the monthly quality meetings.  The service is currently developing KPIs within the Arvida Group.  However, they are still to set group benchmarking but Ilam have continued with internal benchmarking with five other facilities.  The service is proactive in implementing quality improvements. The following have been implemented (but not limited to) dietary needs, residents diversional therapy in apartments, needle stick injuries – prevention, H&amp;S injury prevention initiatives for staff and H&amp;S Safe use of knife training for kitchen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an increase in challenging behaviours in February (four) and March (five) in 2016.  There were staff incidents reported in relation to challenging behaviours with two in March and four in June 2016.   In July 2016, the service implemented an action plan to reduce the number of challenging behaviours. There was a team approach to implement the “Cressy goals” including improved communication and mentoring and training sessions for all staff.  There were regular meetings held with the clinical manager, charge nurse, diversional therapist and caregivers to identify individual resident de-escalation techniques.  All behaviour assessments, behaviour charts and 24-hour care plans were reviewed to ensure all triggers and alternative de-escalation strategies were documented to inform staff of early warning signs and interventions that were successful.  Meaningful activities to reduce behaviours have been introduced including free access to a cookie and sweet jar and finger foods in the dining room.  Monthly evaluations evidence the implemented goals have been successful in achieving desired delivery of care and harmonious environment for residents and staff.   In July and August 2016 there were no challenging incidents or staff incidents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rest home residents in studios units had increased from five in October 2015 to 10 in February 2016.  Residents reported a lack of stimulation around activities.  The service identified a need to provide a stimulating and aired activities programme for the increasing number of rest home residents in studio apartments.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DT was appointed in January 2016 for 24 hours per week to implement an activity programme for the rest home residents in studio apartments. A variety of activities have been offered including news, word games, “keep moving” exercises, choir, music, knitting and walking groups and social interactions.  There are weekly outings to community events, cafes, wineries and shopping trips.   The rest home residents are encouraged to attend other activities offered in the care centre.  A survey of 13 rest home residents in studio apartments conducted August 2016 evidenced 98% satisfaction with the activity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Ilam Lifecare Limited - Ilam Lifecare</w:t>
    </w:r>
    <w:bookmarkEnd w:id="58"/>
    <w:r>
      <w:rPr>
        <w:rFonts w:cs="Arial"/>
        <w:sz w:val="16"/>
        <w:szCs w:val="20"/>
      </w:rPr>
      <w:tab/>
      <w:t xml:space="preserve">Date of Audit: </w:t>
    </w:r>
    <w:bookmarkStart w:id="59" w:name="AuditStartDate1"/>
    <w:r>
      <w:rPr>
        <w:rFonts w:cs="Arial"/>
        <w:sz w:val="16"/>
        <w:szCs w:val="20"/>
      </w:rPr>
      <w:t>7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