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Wood Lifecare (2007) Limited - The Wood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Wood Lifecare (2007)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Wood Lifecare (2007) Ltd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August 2016</w:t>
      </w:r>
      <w:bookmarkEnd w:id="7"/>
      <w:r w:rsidRPr="009418D4">
        <w:rPr>
          <w:rFonts w:cs="Arial"/>
        </w:rPr>
        <w:tab/>
        <w:t xml:space="preserve">End date: </w:t>
      </w:r>
      <w:bookmarkStart w:id="8" w:name="AuditEndDate"/>
      <w:r w:rsidR="00A4268A">
        <w:rPr>
          <w:rFonts w:cs="Arial"/>
        </w:rPr>
        <w:t>31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This audit assessed the service’s preparedness for the addition of Hospital – medical services and the reconfiguration of 13 existing hospital beds currently located in the hospital wing into dual service beds.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73  </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Wood Lifecare is part of the Arvida group of residential aged care facilities and provides hospital and rest home level care for up to 115 residents.  On the day of the audit, there were 73 residents at these levels of care. </w:t>
      </w:r>
    </w:p>
    <w:p w:rsidRPr="00A4268A">
      <w:pPr>
        <w:spacing w:before="240" w:line="276" w:lineRule="auto"/>
        <w:rPr>
          <w:rFonts w:eastAsia="Calibri"/>
        </w:rPr>
      </w:pPr>
      <w:r w:rsidRPr="00A4268A">
        <w:rPr>
          <w:rFonts w:eastAsia="Calibri"/>
        </w:rPr>
        <w:t>The service is overseen by an experienced village manager, who has been in the role since 2009.  The village manager is supported by a clinical manager, who has been in the role since June 2015.  The Wood Lifecare is supported by the Arvida general manager wellness and care.  Residents and the families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 xml:space="preserve">This audit also assessed the preparedness of the service to provide hospital – medical services level of care and the reconfiguration of 13 hospital beds into dual services beds.  This audit verified there are appropriate processes and staffing levels for providing hospital medical services and for the reconfiguration of the current beds into dual-purpose beds. </w:t>
      </w:r>
    </w:p>
    <w:p w:rsidRPr="00A4268A">
      <w:pPr>
        <w:spacing w:before="240" w:line="276" w:lineRule="auto"/>
        <w:rPr>
          <w:rFonts w:eastAsia="Calibri"/>
        </w:rPr>
      </w:pPr>
      <w:r w:rsidRPr="00A4268A">
        <w:rPr>
          <w:rFonts w:eastAsia="Calibri"/>
        </w:rPr>
        <w:t>The audit identified the following areas requiring improvement: informed consent, care plan interventions, neurological observations following incidents.</w:t>
      </w:r>
    </w:p>
    <w:p w:rsidRPr="00A4268A">
      <w:pPr>
        <w:spacing w:before="240" w:line="276" w:lineRule="auto"/>
        <w:rPr>
          <w:rFonts w:eastAsia="Calibri"/>
        </w:rPr>
      </w:pPr>
      <w:r w:rsidRPr="00A4268A">
        <w:rPr>
          <w:rFonts w:eastAsia="Calibri"/>
        </w:rPr>
        <w:t xml:space="preserve">The service is commended for achieving a continued improvement rating around the activities programme, processes to discharge residents and infection control.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Staff at The Wood Lifecare strives to ensure that care is provided in a way that focuses on the individual, values residents' autonomy and maintains their privacy and choice.  The service functions in a way that complies with the Health and Disability Commissioner’s Code of Consumers’ Rights (the Code).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quality/business planner.  Meetings are held to discuss quality and risk management processes.  Residents/family meetings are held regularly and residents and families are surveyed annually.  Health and safety policies, systems and processes are implemented to manage risk.  Incidents and accidents are reported.  Falls prevention strategies are in place that includes the analysis of falls incidents.  An education and training programme has been implemented with a current training plan in place for 2016.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village manager takes primary responsibility for managing entry to the service with assistance from the clinical manager.  Comprehensive service information is available.  Initial assessments are completed by a registered nurse.  Residents interviewed confirmed they were involved in the care planning and review process.  Each resident has access to an individual and group activities programme.  The group programme is varied and interesting.  Medicines are stored and managed appropriately in line with legislation and guidelines.  The general practitioners review residents at least three monthly or more frequently if needed.  Meals are prepared on site under the direction of a dietitian.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and emergency evacuation plan.  Ongoing maintenance issues are addressed.  Chemicals are stored safely throughout the facility.  All bedrooms are single occupancy with ensuites.  There is sufficient space to allow the movement of residents around the facility using mobility aids.  There are several lounges and two dining areas throughout the facility.  The internal areas are able to be ventilated and heated.  The outdoor areas are safe and easily accessible.  Cleaning and laundry staff are providing appropriate services.  There is a planned and reactive maintenance programme in place.  Staff have planned and implemented strategies for emergency management.  Emergency systems are in place in the event of a fire or external disaster.  All registered nurses hold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Wood Lifecare has restraint minimisation and safe practice policies and procedures in place.  Staff receive training around restraint minimisation and the management of challenging behaviour.  Three residents were assessed as requiring restraints and two residents were using an enabler.  The clinical manger is the designated restraint coordinator.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1</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1</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55"/>
        <w:gridCol w:w="1280"/>
        <w:gridCol w:w="97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20 staff (six caregivers, five registered nurses, one enrolled nurse, two diversional therapists, one physiotherapist, one cook, one maintenance person, two laundry persons and one cleaner) confirm their familiarity with the Code.  Interviews with ten residents (nine rest home and one hospital) and seven families (one rest home and six hospital) confirm the services being provided are in line with the Code.  The Code is discussed at resident, staff and quality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EPOA signs written general consents.  Nine resident files sampled (four rest home – including one resident in the serviced apartments, and five hospital including one resident admitted under a non-aged related contract) demonstrated that advanced directives are signed for separately.  Not all advanced directives and resuscitation decision forms were fully completed.  Informed consent forms were completed. </w:t>
            </w:r>
          </w:p>
          <w:p w:rsidR="00EB7645" w:rsidRPr="00BE00C7" w:rsidP="00BE00C7">
            <w:pPr>
              <w:pStyle w:val="OutcomeDescription"/>
              <w:spacing w:before="120" w:after="120"/>
              <w:rPr>
                <w:rFonts w:cs="Arial"/>
                <w:b w:val="0"/>
                <w:lang w:eastAsia="en-NZ"/>
              </w:rPr>
            </w:pPr>
            <w:r w:rsidRPr="00BE00C7">
              <w:rPr>
                <w:rFonts w:cs="Arial"/>
                <w:b w:val="0"/>
                <w:lang w:eastAsia="en-NZ"/>
              </w:rPr>
              <w:t>Caregivers and registered nurses interviewed confirmed verbal consent is obtained when delivering care.  Family members interviewed confirmed that they are involved in decisions that affect their relative’s lives.  All nine resident files sampled had a signed admission agreement signed on or before the day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and complaints forms are available.  Information about complaints is provided on admission.  Interview with residents demonstrated an understanding of the complaints process.  There is a complaints register.  Verbal and written complaints are documented.  Five complaints have been made in the past 12 months.  All complaints reviewed had noted investigation, timeframes and corrective actions when and where required, and resolutions were in place.  Results are fed back to complainants.  All staff interviewed were able to describe the process around reporting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village manager discusses the information pack with the resident and the family/whānau.  The information pack incudes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requirements of the Privacy Act and Health Information Privacy Code.  Staff were observed respecting resident’s privacy and could describe how they manage maintaining privacy and respect of personal property.  A policy describes spiritual care.  Church services are conducted regularly.  Residents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One resident identified as Māori at the time of the audit.  There was no documentation around Tikanga practises in the care plan for the Māori resident (link 1.3.6.1).  Discussions with staff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All residents interviewed reported that they were satisfied that their cultural and individual values were being met.  Information gathered during assessment including resident’s beliefs and values, is used to develop a care plan, which the resident (if appropriate) and/or their family/whānau are asked to consult on.  Staff receive training on cultural safety/awareness.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Residents and families interviewed spoke positively about the care and support provided.  Staff interviewed had a sound understanding of principles of aged care and stated that they feel supported by the management team.  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 staff to their responsibility to notify family/next of kin of any accident/incident.  Full and frank open disclosure occurs.  Incident/accidents forms reviewed had documented evidence of family notification or noted if family did not wish to be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confirmed that they are notified of any changes in their family member’s health status.  A residents/relatives meeting occurs every three months and issues arising from the meeting are communicated to staff.  Any issues raised from these meetings are investigated by the village manager and there was evidence of implemented corrective actions.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Wood Lifecare is owned and operated by the Arvida Group.  The service provides care for up to 115 residents within 30 rest home beds, 47 hospital level beds and 38 serviced apartments certified to provide rest home level care.  On the day of the audit there were 73 residents including; 30 rest home residents, 36 hospital residents including one younger persons disabled (YPD), and 7 rest home residents in the serviced apartments.  There were no residents on respite care.  All other residents were admitted under the aged related residential care contact (ARRC).  Thirteen rooms within the 47-bed hospital area have been verified as appropriate for dual-purpose (rest home or hospital level).  This audit verified that the service has appropriate processes, facilities and staffing to provide hospital - medical care.  There were no residents receiving hospital medical care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is an experienced registered nurse and manager and has been in the role for seven years.  She is supported by a clinical manager who has been in the position for one year and has been at The Wood Lifecare for three and a half years.</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provides a monthly report to the Arvida general manager operations on a variety of operational issues.  Arvida has an overall business/strategic plan and The Wood Lifecare has an annual quality improvement and risk management action plan in place.  The organisation has a philosophy of care, which includes a mission statement.  The Wood Lifecare is currently transitioning to the Arvida Group quality management systems and Arvida policies and procedures.  The village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r w:rsidRPr="00BE00C7">
              <w:rPr>
                <w:rFonts w:cs="Arial"/>
                <w:b w:val="0"/>
                <w:lang w:eastAsia="en-NZ"/>
              </w:rPr>
              <w:t>This audit also included verifying the service as suitable to provide ‘medical’ level care under their current hospital certification.  The service has links to allied health including physiotherapist.  There is sufficient space in resident rooms and appropriate equipment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clinical manager is in charge.  Support is also provided by the general manager operations, the general manager wellness and care and the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business/strategic plan that includes quality goals and risk management plans for The Wood Lifecare.  Interviews with staff confirmed that there is discussion about quality data at various staff meetings.  The village manager advised that she is responsible for providing oversight of the quality programme on site, which is also monitored at organisational level.  The quality and risk management programme is designed to monitor contractual and standards compliance.  The site-specific service's policies are being transitioned over to the Arvida Group polices, which will be reviewed at least every 2 years across the group.  Head office sends new/updated policies.  Staff have access to the policy manuals.  The Wood Lifecare has implemented the Arvida Group InterRAI assessment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The service has a health and safety management system that is regularly reviewed.  Restraint and enabler use (when used) is reported within the quality and clinical staff meetings.  Falls prevention strategies are in place that includes the analysis of falls incidents and the identification of interventions on a case-by-case basis to minimise future falls.  Falls with injury were identified as an area that required improvement from data collected from July to December 2015.  A plan was developed as part of their 2016 quality goals, which included increasing resident attendance and participation in The Wood exercise programme.  The Wood expanded the exercise programme to instil a culture of holistic wellness and active lifestyle to the residents.  Attendance for the expanded exercise programme in 2016 increased by 40% from 2015.  </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continues to be implemented and all issues identified had corrective action plans and resolutions.  Staff interviewed could describe the quality programme corrective action process.  There is an annual staff training programme that is implemented and based around policies and procedures and records of staff attendances maintained.  Infection Control programme is implemented and all infections are documented monthly.  Residents/relatives are surveyed to gather feedback on the service provided and the outcomes are communicated to residents, staff and families.  The 2015 resident relative survey overall result shows satisfaction with services provided.  Resident/family meetings occur every three months and resident and family interviews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 and near misses and analysis of incident trends occurs.  There is a discussion of incidents/accidents at staff meetings including actions to minimise recurrence.  A registered nurse conducts clinical follow-up of residents.  Fourteen incident forms reviewed demonstrated that not all appropriate clinical follow-up and investigation had occurred following incidents.  Discussions with the village manager confirmed that there is an awareness of the requirement to notify relevant authorities in relation to essential notifications.  Three section 31 incident notification forms (sighted) were completed in 2016.  One matter had been referred to the police and two matters related to pressure injuries.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experience and veracity.  A copy of practising certificates is kept.  Ten staff files were reviewed (one village manager, one clinical manager, two registered nurses, three caregivers, one housekeeper, one laundry and one head cook) and there is evidence that reference checks were completed before employment was offered.  Annual staff appraisals were evident in all staff files reviewed.  The service has a comprehensive orientation programme in place that provides new staff with relevant information for safe work practice.  Completed orientation was evidenced and staff described the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2015 has been completed and the plan for 2016 is being implemented.  This audit included verifying the service as suitable to provide ‘medical’ level care under their current hospital certification.  Staff are well trained around current medical conditions.  The village manager and registered nurses are able to attend external training, including sessions provided by the local DHB.  Discussions with the caregivers and the RNs confirmed that ongoing training is encouraged and supported by the service.  Eight hours of staff development or in-service education has been provided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Wood Lifecare policy includes staff rationale and skill mix.  The service has a total of 98 staff in various roles.  Staffing rosters were sighted and there is staff on duty to match needs of different shifts.  In addition to the village manager and clinical manager who both work full time, there is at least one registered nurse and four caregivers on at any one time.  The registered nurse on each shift is aware that extra staff can be called on for increased resident requirements.  Interviews with staff, residents and family members confirm there are sufficient staff to meet the needs of residents.  There are sufficient staff rostered on to manage the care requirements of the residents including the reconfiguration of 13 existing hospital beds to be used for dual-purpose (either rest home or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Other residents or members of the public cannot view sensitive resident information.  Entries in records are legible, dated and signed by the relevant caregiver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village manager screens all potential residents prior to entry and records all admission enquires.  Residents and relatives interviewed confirmed they received information prior to admission and had the opportunity to discuss the admission agreement with the village manager and clinical manager.  The admission agreement form in use aligns with the requirements of the ARRC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transfer from hospital to residential aged care envelope (yellow) that works in reverse when residents are transferred to a DHB acute hospital.  Relatives are notified if transfers occur.  The service has a focus in restorative care to transition residents to a lower level of care and then to discharge home.  The service actively works with the multidisciplinary team, the resident and the family to rehabilitate residents to transition back to the community and be discharged into their own homes.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were reviewed (eight rest home and ten hospital).  The medication management policies and procedures comply with medication legislation and guidelines.  Medicines are appropriately stored in accordance with relevant guidelines and legislation.  Medication fridge temperatures were being recorded.  Resident’s medicines are stored securely in the medication room/cupboard.  Medication administration practice complied with the medication management policy for the medication round sighted.  Medication prescribed is signed as administered on the pharmacy generated signing chart.  Registered nurses administer medicines.  All staff that administer medicines are competent and have received medication management training.  The facility uses a robotic packed medication management system for the packaging of all tablets.  The RN on duty reconciles the delivery and documents this.  Medical practitioners write medication charts correctly and there was evidence of three monthly reviews by the GP.  Three rest home residents self-administer their own medicines.  The self-administration documentation was correctly recorded and a competency assessment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food is cooked on site.  There is a food services manual in place to guide staff.  A resident nutritional profile is developed for each resident on admission and provided to the kitchen staff.  This document is reviewed at least six monthly as part of the care plan review.  The kitchen is able to meet the needs of residents who require special diets and the kitchen manager works closely with the RNs on duty.  The kitchen staff have completed food safety training.  The kitchen manager and cook follow a rotating seasonal menu, which has been reviewed by an external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decision to residents/family/whānau and the referring agency.  Anyone declined entry is referred back to the referring agency for appropriate placement and advice.  Information on alternate placement options is given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appropriate personal needs information is gathered during admission in consultation with the resident and their relative where appropriate.  Files sampled did not all have InterRAI assessments completed.  There was evidence that some InterRAI assessments that had been completed were reviewed at least six monthly (link 1.2.7.5).  The service advised that InterRAI assessments have not been completed for all residents.  Five of thirteen registered nurses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are individualised.  The InterRAI assessment process (where completed) informs the development of the resident’s care plan (link 1.3.4.2).  The long-term care plan did not always describe the support required to meet the resident’s goals and needs as identified through the assessment process.  Residents and their family/whānau interviewed reported that they are involved in the care planning and review process.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against the care plan each shift at handover.  If external nursing or allied health advice is required, the RNs will initiate a referral (eg, to the district nurse [hospice nurse] or the mental health nurses).  If external medical advice is required, this will be actioned by the GPs.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plans are in place for residents with wounds.  Twenty-three wound care plans were reviewed for eight rest home residents with four skin tears, three chronic ulcers, and one lesion, and fourteen hospital residents including three skin tears, two facility acquired pressure injuries, five lesions, one blister, one laceration, and two chronic ulcers.  All wounds have been reviewed at appropriate times.  The RNs have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caregivers demonstrated an understanding of the individualised needs of residents.  There was evidence of pressure injury prevention interventions such as two hourly turning charts, food and fluid charts, regular monitoring of bowels and regular (monthly or more frequently if required) weight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diversional therapists are currently facilitating the activities programme for all residents.  The programme is supported by a number of volunteers.  The programme operates five days a week.  Activities are available for the residents to access over the weekend.  Each resident has an individual activities assessment on admission, which is incorporated into the InterRAI assessment process.  An individual activities plan is developed for each resident by the diversional therapist in consultation with the registered nurses.  Each resident is free to choose whether they wish to participate in the group activities programme or their individual plan.  Participation is monitored.  Group activities reflect ordinary patterns of life and include at least weekly planned visits to the community.  The diversional therapists review the social profile and the recreational plan when the care plan is evaluated and if a further InterRAI assessment occurs.  Residents interviewed commented positively on the activity programme.  The service has exceeded the standard around provision of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Files sampled demonstrated that the long-term care plan were evaluated at least six monthly or earlier if there is a change in health status.  There was at least a three monthly review by the GP.  Not all changes in health status were documented and followed up.  Reassessments have been completed using InterRAI LTCF in the files sampled for residents who have had a significant change in health status.  The RN completing the plan signs care plan reviews.  Short-term care plans sighted were evaluated and resolved or added to the long-term care plan if the problem is ongoing, as sighted in resident files sampled.  Where progress is different from expected (for two residents with weight loss), the service did not always respond by initiating changes to the care plan (link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with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two floors.  On the first floor, there are 22 certified retirement village apartments.  On the ground floor, there are 16 certified retirement village apartments, 30 rest home beds, 47 hospital (including13 dual-purpose beds [verified at audit] in the hospital wing), and including one shared/double room in the hospital area.  The dual-purpose beds have adequate space to manoeuvre care equipment for both hospital and rest home level care.  All rooms have an ensuite.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maintenance manager employed to coordinate the reactive and planned maintenance programme.  The building has a current building warrant of fitness that expires 4 August 2017.  All medical and electrical equipment has been serviced and/or calibrated.  Hot water temperatures are monitored and managed within 43-45 degrees Celsius.  The facility has sufficient space for residents to mobilise using mobility aids.  External areas are well maintained.  Residents have access to safely designed external areas that have shade.  Staff stated they had sufficient equipment to safely deliver the cares as outlined in the resident care plans.  There is sufficient equipment to cater for the requirements of the residents in the dual-purpose wings and for hospital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All bedrooms have ensuites.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(including the 13 reconfigured hospital beds into dual-purpose beds)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relaxation, dining and for entertainment.  There are separate lounge and dining areas in each unit.  All lounges and dining rooms are easy to access and can accommodate the equipment required for the residents.  There is a large activities room located off the main reception area.  Other lounge areas and seating nooks are available for those residents wishing for a quieter area for visitors or reading.  Activities occur in the large activities room and throughout the facility.  Residents are able to move freely and furniture is well arranged to facilitate this.  All the communal areas and the wide corridors have handrails.  Residents were seen to be moving freely both with and without assistance throughout the audit and all residents interviewed report they can move around the facility and staff assist them if required.  There is adequate dining and lounge space in the hospital area to cater for the recreational needs of the residents in the dual-purpose room in the hospital wing.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staff rostered on seven days per week.  They have access to a range of chemicals, cleaning equipment and protective clothing.  The standard of cleanliness is monitored through the internal audit programme.  Residents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laundry staff rostered on seven days per week.  All laundry is completed on site in an appropriately appointed laundry.  Residents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and disaster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backup power for emergency lighting is in place.  A minimum of one person trained in first aid and cardiopulmonary resuscitation (CPR) is available at all times.  All registered nurses hold a current first aid certificate.  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Wood Lifecare has transitioned to the Arvida group infection control programme.  The infection control programme, its content and detail, is appropriate for the size, complexity and degree of risk associated with the service.  It is linked into the incident reporting system.  A registered nurse is the designated infection control coordinator with support and supervision from the clinical manager and other members of the infection control team.  Minutes are available for staff.  Spot audits have been conducted and include hand hygiene and infection control practices.  Education is provided for all new staff on orientation.  The Arvida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designated infection control (IC) coordinator.  The infection control coordinator receives supervision and support from the clinical manager.  There are adequate resources to implement the infection control programme for the size and complexity of the organisation.  The IC nurse and IC team have external support from the Arvida Group head office and the IC nurse specialist at the DHB.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Wood Lifecare has just transitioned to the Arvida group infection control policies and procedures.  The policies and procedures are appropriate for the size and complexity of the service.  The infection control manual outlines a comprehensive range of policies, standards and guidelines and includes defining roles, responsibilities and oversight, the infection control team and training and education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attends the Arvida Group infection control training and is provided with education and updates through this forum.  Visitors are advised of any outbreaks of infection and are advised not to attend until the outbreak has been resolved.  Information is provided to residents and visitors that is appropriate to their needs and this is documented in their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Wood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meetings.  If there is an emergent issue, it is acted upon in a timely manner.  Reports are easily accessible to the village manager and head office staff.  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three residents with four restraints (three bedrails and one lap belt) and two residents using an enabler (bedrails) during the audit.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Staff education on restraint minimisation and management of challenging behaviour has been provided.  Restraint has been discussed as part of quality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the designated restraint coordinator.  Assessment and approval process for restraint use included the restraint coordinator, registered nurses,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assessments for residents who require restraint or enabler interventions.  These were undertaken by suitably qualified and skilled staff, in partnership with the family/whānau, in the three restraint and two enabler files sampled.  The restraint coordinator, the resident and/or their representative and a medical practitioner were involved in the assessment and consent process.  In the files reviewed,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identify the specific interventions or strategies trialled before implementing restraint.  Approved restraints are documented.  Restraint authorisation is in consultation/partnership with the resident and family and the restraint coordinator.  The use of restraint is linked to the residents’ care plans.  Each episode of restraint is monitored at pre-determined intervals depending on individual risk to that resident.  A restraint register is in place providing an auditable record of restraint use and is completed for all residents requiring restraints and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are obtained/met.  There is an assessment form/process that is completed for all restraints and enablers.  The files reviewed had a completed assessment form and a care plan that reflected risk.  The service has a restraint and enablers register, which is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files reviewed, evaluations had been completed with the resident, family/whānau and restraint coordinator.  Restraint practices are reviewed on a formal basis every month by the restraint coordinator at quality meetings.  Evaluation timeframes are determined by policy and risk levels.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81"/>
        <w:gridCol w:w="1280"/>
        <w:gridCol w:w="3401"/>
        <w:gridCol w:w="5007"/>
        <w:gridCol w:w="17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Advanced directive and resuscitation decision forms are available.  The medical officer discusses the residents’ wishes and documents the outcome of this discussion.  Not all sections of the advanced directives and resuscitation forms were fully completed in the files sampled.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Nine of nine files reviewed (four rest home and five hospital) did not have all sections of the advanced directive and resuscitation decision forms fully completed.  Not all forms reviewed had been signed correctly and did not consistently evidence discussion with family and/or EPOA.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advance directives and resuscitation decision forms are fully completed and evidence (where appropriate) discussion with family and/or EPOA.</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reports reviewed evidenced that assessment and clinical care had been provided following an adverse event.  Registered nurses assess residents following an adverse event.  Neurological recordings had been commenced but not fully completed for two incident forms in the sample.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Neurological assessments following unwitnessed falls were not consistently documented for two rest home residents (including the rest home tracer).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neurological observations are completed, as required by the organisational policy, for all residents following an unwitnessed fall.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the thirteen registered nurses employed are interRAI trained.  Registered nurse turnover and the inability to access sufficient interRAI training have meant that contractual obligations have not been met around interRAI requirements.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Some residents admitted since 1 January 2016 or with assessments reviewed since this time have not had interRAI assessments completed.  This is due to the resignation of trained interRAI assessors which the provider has taken steps to replace.  However the scheduling of training for the new staff and other existing staff, which is beyond the control of the provider, has led to a delay in the carrying out of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Access interRAI training for staff when this is available to ensure interRAI contractual obligations can be met.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365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responsible for the development of the care plan.  Short-term care plans were in use for changes in health conditions.  Care plan interventions did not always document interventions to meet residents’ assessed needs.  Interventions were not fully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were not documented in sufficient detail to guide care staff in the provision of care to residents for: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  Five hospital residents (one with an indwelling catheter, end of life care for residents who were palliative, vertigo, vestibular dysfunction and Parkinson’s disease); </w:t>
            </w:r>
          </w:p>
          <w:p w:rsidR="00EB7645" w:rsidRPr="00BE00C7" w:rsidP="00BE00C7">
            <w:pPr>
              <w:pStyle w:val="OutcomeDescription"/>
              <w:spacing w:before="120" w:after="120"/>
              <w:rPr>
                <w:rFonts w:cs="Arial"/>
                <w:b w:val="0"/>
                <w:lang w:eastAsia="en-NZ"/>
              </w:rPr>
            </w:pPr>
            <w:r w:rsidRPr="00BE00C7">
              <w:rPr>
                <w:rFonts w:cs="Arial"/>
                <w:b w:val="0"/>
                <w:lang w:eastAsia="en-NZ"/>
              </w:rPr>
              <w:t>ii) Two hospital residents with pressure Injuries (one hospital tracer);</w:t>
            </w:r>
          </w:p>
          <w:p w:rsidR="00EB7645" w:rsidRPr="00BE00C7" w:rsidP="00BE00C7">
            <w:pPr>
              <w:pStyle w:val="OutcomeDescription"/>
              <w:spacing w:before="120" w:after="120"/>
              <w:rPr>
                <w:rFonts w:cs="Arial"/>
                <w:b w:val="0"/>
                <w:lang w:eastAsia="en-NZ"/>
              </w:rPr>
            </w:pPr>
            <w:r w:rsidRPr="00BE00C7">
              <w:rPr>
                <w:rFonts w:cs="Arial"/>
                <w:b w:val="0"/>
                <w:lang w:eastAsia="en-NZ"/>
              </w:rPr>
              <w:t>iii) Two rest home residents with short-term memory loss;</w:t>
            </w:r>
          </w:p>
          <w:p w:rsidR="00EB7645" w:rsidRPr="00BE00C7" w:rsidP="00BE00C7">
            <w:pPr>
              <w:pStyle w:val="OutcomeDescription"/>
              <w:spacing w:before="120" w:after="120"/>
              <w:rPr>
                <w:rFonts w:cs="Arial"/>
                <w:b w:val="0"/>
                <w:lang w:eastAsia="en-NZ"/>
              </w:rPr>
            </w:pPr>
            <w:r w:rsidRPr="00BE00C7">
              <w:rPr>
                <w:rFonts w:cs="Arial"/>
                <w:b w:val="0"/>
                <w:lang w:eastAsia="en-NZ"/>
              </w:rPr>
              <w:t>iv)  Two hospital residents with aggressive behaviours; and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The Tikanga practices for a resident who identified as Māori. </w:t>
            </w:r>
          </w:p>
          <w:p w:rsidR="00EB7645" w:rsidRPr="00BE00C7" w:rsidP="00BE00C7">
            <w:pPr>
              <w:pStyle w:val="OutcomeDescription"/>
              <w:spacing w:before="120" w:after="120"/>
              <w:rPr>
                <w:rFonts w:cs="Arial"/>
                <w:b w:val="0"/>
                <w:lang w:eastAsia="en-NZ"/>
              </w:rPr>
            </w:pPr>
            <w:r w:rsidRPr="00BE00C7">
              <w:rPr>
                <w:rFonts w:cs="Arial"/>
                <w:b w:val="0"/>
                <w:lang w:eastAsia="en-NZ"/>
              </w:rPr>
              <w:t>vi) The care plan was not updated for two hospital residents with a significant weight loss.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care plan interventions are documented for all care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95"/>
        <w:gridCol w:w="1280"/>
        <w:gridCol w:w="2764"/>
        <w:gridCol w:w="77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1.3.10.2</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identify, document, and minimise risks associated with each consumer's transition, exit, discharge, or transfer, including expressed concerns of the consumer and, if appropriate, family/whānau of choice or other representatives.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works with the multidisciplinary team the resident and the family to rehabilitate residents to transition back to the community and be discharged into their own homes.  Once the resident is ready to be discharged home the service develops a discharge plan in association with the resident, their family and the community support services.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works alongside the resident and their family to establish a rehabilitative focus to promote independence.  This is supported by input from the multi-disciplinary team with a focus on assisting the resident to meet their goals.  The care staff and registered nurses interviewed, advised that they are involved in all aspects of care planning and understand that their role is to provide support in a way that focuses on rehabilitation.  This approach has resulted in six hospital residents in the past 12 months being transitioned to rest home level care and then safely transferred home, and three residents transitioned from hospital level care to rest home level care.  One hospital resident who recently transitioned home was interviewed and advised that her discharge was well co-ordinated and the supports arranged prior to her discharge were very through.  She reported she was very happy to be back in her own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therapists have increased the opportunities for community engagement in their programme in order to improve the overall wellbeing and feeling of worth amongst the residents.  The service has actively sort to expand the activities offered and to create meaningful engagement for the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Woods has intentionally increased the opportunity for intergenerational engagement by facilitating regular visits from the local primary school the local pre-school and an English language school.  These visits are structured so that the residents and the children can share some time in the large communal lounge participating in one-on-one activities.  The residents interviewed advised that they really look forward to this contact with the younger generation.  The programme has also responded to the request from the residents for more activities that would be of interest to the men.  Overall attendance at the men’s group has increased by 68% since the start of the year.  Special targeted activities have been provided, such as the programme that focuses on sensory capacity for the hospital residents, music therapy and aromatherapy.  There has been a 30% increase in attendance at activities over the past 6 months.  The residents and families interviewed spoke very highly of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reviewed the surveillance data in the first six months of the year and noted an increase in the incidence of eye infections in the hospital residents.  The infection control team implemented a strategy to reduce the incidence of eye infections in this group.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noted an increase in eye infections in the hospital area and introduced a project to reduce the incidents of eye infections.  The care givers were given specific training on eye care and individualised eye care kits were introduced.  Management strategies were put in place to reduce the incidence of flying insects and inactive residents were provided with insect nets.  The incidence of eye infections reduced from 4 in May 2016 to 0 in June, July and August 2016.</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Wood Lifecare (2007) Limited - The Wood Lifecare</w:t>
    </w:r>
    <w:bookmarkEnd w:id="58"/>
    <w:r>
      <w:rPr>
        <w:rFonts w:cs="Arial"/>
        <w:sz w:val="16"/>
        <w:szCs w:val="20"/>
      </w:rPr>
      <w:tab/>
      <w:t xml:space="preserve">Date of Audit: </w:t>
    </w:r>
    <w:bookmarkStart w:id="59" w:name="AuditStartDate1"/>
    <w:r>
      <w:rPr>
        <w:rFonts w:cs="Arial"/>
        <w:sz w:val="16"/>
        <w:szCs w:val="20"/>
      </w:rPr>
      <w:t>30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