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Fendalton Lifecare (2006)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Fendalton Lifecare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Fendalton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2016</w:t>
      </w:r>
      <w:bookmarkEnd w:id="7"/>
      <w:r w:rsidRPr="009418D4">
        <w:rPr>
          <w:rFonts w:cs="Arial"/>
        </w:rPr>
        <w:tab/>
        <w:t xml:space="preserve">End date: </w:t>
      </w:r>
      <w:bookmarkStart w:id="8" w:name="AuditEndDate"/>
      <w:r w:rsidR="00A4268A">
        <w:rPr>
          <w:rFonts w:cs="Arial"/>
        </w:rPr>
        <w:t>30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Fendalton Retirement Village is owned by a group of shareholders and provides care to up to 49 rest home residents within a rest home area and serviced apartments.  On the day of the audit, there were 34 rest home level residents at the service.  Residents and families interviewed were very complimentary of care and support provided.  The facility manager is an experienced aged care manager and registered nurse.  The facility manager is supported by a general manager and a quality consultant (registered nurse).</w:t>
      </w:r>
    </w:p>
    <w:p w:rsidRPr="00A4268A">
      <w:pPr>
        <w:spacing w:before="240" w:line="276" w:lineRule="auto"/>
        <w:rPr>
          <w:rFonts w:eastAsia="Calibri"/>
        </w:rPr>
      </w:pPr>
      <w:r w:rsidRPr="00A4268A">
        <w:rPr>
          <w:rFonts w:eastAsia="Calibri"/>
        </w:rPr>
        <w:t>This unannounced surveillance audit was conducted against aspects of the Health and Disability Standards and the contract with the district health board.  This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Fendalton retirement village has a quality and risk management system in place that continues to be implemented and monitored, which generates improvements in practice and service delivery.  There is an established and implemented orientation and in-service programme. </w:t>
      </w:r>
    </w:p>
    <w:p w:rsidRPr="00A4268A">
      <w:pPr>
        <w:spacing w:before="240" w:line="276" w:lineRule="auto"/>
        <w:rPr>
          <w:rFonts w:eastAsia="Calibri"/>
        </w:rPr>
      </w:pPr>
      <w:r w:rsidRPr="00A4268A">
        <w:rPr>
          <w:rFonts w:eastAsia="Calibri"/>
        </w:rPr>
        <w:t>The service has addressed the previous audit finding relating to general practitioner sign off for residents who self-administer medications.</w:t>
      </w:r>
    </w:p>
    <w:p w:rsidRPr="00A4268A">
      <w:pPr>
        <w:spacing w:before="240" w:line="276" w:lineRule="auto"/>
        <w:rPr>
          <w:rFonts w:eastAsia="Calibri"/>
        </w:rPr>
      </w:pPr>
      <w:r w:rsidRPr="00A4268A">
        <w:rPr>
          <w:rFonts w:eastAsia="Calibri"/>
        </w:rPr>
        <w:t>This surveillance audit identified that no additional improvements are required.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with residents and families is maintained and this was confirmed on interviews.  A system of complaint management is available to service users.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an implemented quality and risk plan for the service.  Quality activities are conducted, which generate improvements in practice and service delivery.  Meetings are held to discuss quality and risk management processes.  Resident meetings are held and residents and families are surveyed annually.  Health and safety policies, systems and processes are implemented to manage risk.  Incidents and accidents are reported.  A comprehensive education and training programme has been implemented.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care plans are developed by the service’s registered nurses, who also have the responsibility for maintaining and reviewing the support plans.  Risk assessment tools and monitoring forms are used to assess the level of risk and ongoing support required for residents.  Care plans are evaluated six monthly or more frequently when clinically indicated.  There is documented evidence of allied health involvement into the residents’ care. </w:t>
      </w:r>
    </w:p>
    <w:p w:rsidRPr="00A4268A" w:rsidP="00621629">
      <w:pPr>
        <w:spacing w:before="240" w:line="276" w:lineRule="auto"/>
        <w:rPr>
          <w:rFonts w:eastAsia="Calibri"/>
        </w:rPr>
      </w:pPr>
      <w:r w:rsidRPr="00A4268A">
        <w:rPr>
          <w:rFonts w:eastAsia="Calibri"/>
        </w:rPr>
        <w:t xml:space="preserve">The activity programme is varied and reflects the interests of the residents including community interactions. </w:t>
      </w:r>
    </w:p>
    <w:p w:rsidRPr="00A4268A" w:rsidP="00621629">
      <w:pPr>
        <w:spacing w:before="240" w:line="276" w:lineRule="auto"/>
        <w:rPr>
          <w:rFonts w:eastAsia="Calibri"/>
        </w:rPr>
      </w:pPr>
      <w:r w:rsidRPr="00A4268A">
        <w:rPr>
          <w:rFonts w:eastAsia="Calibri"/>
        </w:rPr>
        <w:t xml:space="preserve">There are medication management policies that are comprehensive and direct staff in terms of their responsibilities in each stage of medication management.  Competencies are completed.  Medication profiles are reviewed by the general practitioner three monthly or earlier if necessary.  </w:t>
      </w:r>
    </w:p>
    <w:p w:rsidRPr="00A4268A" w:rsidP="00621629">
      <w:pPr>
        <w:spacing w:before="240" w:line="276" w:lineRule="auto"/>
        <w:rPr>
          <w:rFonts w:eastAsia="Calibri"/>
        </w:rPr>
      </w:pPr>
      <w:r w:rsidRPr="00A4268A">
        <w:rPr>
          <w:rFonts w:eastAsia="Calibri"/>
        </w:rPr>
        <w:t xml:space="preserve">The menu is designed and reviewed by a registered dietitian.  Residents' individual needs are identified.  There is a process in place to ensure changes to residents’ dietary needs are communicated to the kitchen.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The documented definition of restraint and enablers aligns with the definition in the standards.  There are currently no residents with restraint or enablers.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implemented and meets the needs of the organisation and provides information and resources to inform the service providers.  The type of surveillance undertaken is appropriate to the size and complexity of the organisation.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1"/>
        <w:gridCol w:w="1280"/>
        <w:gridCol w:w="100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are complaints forms freely available to residents and family members.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maintains a complaints register.  Five complaints for 2016 were reviewed.  Complaints have been investigated with corrective actions identified.  Discussions with residents and relatives confirmed that any issues are addressed and that they feel comfortable to bring up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relating to accident/incidents, complaints and open disclosure.</w:t>
            </w:r>
          </w:p>
          <w:p w:rsidR="00EB7645" w:rsidRPr="00BE00C7" w:rsidP="00BE00C7">
            <w:pPr>
              <w:pStyle w:val="OutcomeDescription"/>
              <w:spacing w:before="120" w:after="120"/>
              <w:rPr>
                <w:rFonts w:cs="Arial"/>
                <w:b w:val="0"/>
                <w:lang w:eastAsia="en-NZ"/>
              </w:rPr>
            </w:pPr>
            <w:r w:rsidRPr="00BE00C7">
              <w:rPr>
                <w:rFonts w:cs="Arial"/>
                <w:b w:val="0"/>
                <w:lang w:eastAsia="en-NZ"/>
              </w:rPr>
              <w:t>Five residents and four family members interviewed confirmed they were welcomed on entry and were given time and explanation about the services and procedures.  Incidents/accidents forms reviewed include a section to record family notification.  All forms sampled indicated family were informed or if family did not wish to be informed.  Relatives interviewed confirmed they were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retirement village is owned by a group of shareholders.  The general manager is one of the shareholders.  She reports to, and is on the board of directors, which meets four times a year.  A facility manager is employed to oversee the running of the rest home and serviced apartments.  The facility manager has been in the role for eight years.  The facility manager is supported by a quality consultant (registered nurse), a part time registered nurse, and two team leaders (enrolled nurses).  </w:t>
            </w:r>
          </w:p>
          <w:p w:rsidR="00EB7645" w:rsidRPr="00BE00C7" w:rsidP="00BE00C7">
            <w:pPr>
              <w:pStyle w:val="OutcomeDescription"/>
              <w:spacing w:before="120" w:after="120"/>
              <w:rPr>
                <w:rFonts w:cs="Arial"/>
                <w:b w:val="0"/>
                <w:lang w:eastAsia="en-NZ"/>
              </w:rPr>
            </w:pPr>
            <w:r w:rsidRPr="00BE00C7">
              <w:rPr>
                <w:rFonts w:cs="Arial"/>
                <w:b w:val="0"/>
                <w:lang w:eastAsia="en-NZ"/>
              </w:rPr>
              <w:t>Fendalton retirement village is certified to provide rest home level care for up to 49 residents within a 35-bed rest home and in 14 serviced apartments.  On the day of the audit, there were 30 residents in the rest home and 4 rest home level residents in the serviced apartments.  One resident in the rest home was on a respite contract, which ended on the day of audit.  All other residents were on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in place (2015-2018) for organisational governance and direction.  The current strategic plan, and quality and risk management plans have been implemented.  The organisational quality programme is managed by the quality consultant, an external quality auditor, the facility manager and senior staff.  The service has an annual planner/schedule that includes audits, meetings and education.  Quality improvement activities are identified from audits, meetings, staff and resident feedback and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activities related to managing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retirement village has a business plan in place for the service.  There is a quality programme and a risk management plan, which is reviewed annually.  Progress with the quality and risk management programme has been monitored through the quality and risk meeting, monthly health and safety team meetings and infection control meetings.  Staff meetings and staff newsletters document the communication of quality data to all staff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being implemented.  The service employs a quality consultant who undertakes and reports on all audits.  Areas of non-compliance identified at audits, evidenced follow-up for all areas of non-compliance and this has been documented.  A monthly analysis of all incidents and internal audit outcomes is completed and a summary is included in the quality and risk meeting minutes and staff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reviewed two yearly by the quality consultant in consultation with relevant staff, and content of policies reviewed reflects current and relevant standards, contracts and guidelines.  Resident/relative meetings occur two monthly.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There are designated health and safety staff representatives who have completed specific training related to their roles.  The service collects information on resident incidents and accidents as well as staff incidents/accidents.  Hazard identification forms are completed to identify hazards with actions identified and reviewed/followed up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and a family survey are conducted annually.  The surveys evidence that residents and families are overall very satisfied with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Fendalton retirement village continues to collect and analyse incident and accident data and report outcomes monthly.  A sample of resident related incident reports for July 2016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with other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the responsibilities in regards to essential notifications.  An example was provided of a recent infectious outbreak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be completed to validate the individual’s qualifications, experience and veracity.  A copy of practising certificates is kept.  There are comprehensive human resources policies including recruitment, selection, orientation and staff training and development.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reviewed including the facility manager, one enrolled nurse, the activities coordinator, and two caregivers.  All files included all appropriate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that provides new staff with relevant information for safe work practice and includes three days with a ‘buddy’.  Staff interviewed were able to describe the orientation process and stated that they believed that new staff were adequately orientated to the service.  Annual appraisals are conducted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education and training calendar for 2016.  Training is provided either as part of the staff meeting or as self-learning packages.  The service maintains a series of competencies for all staff including (but not limited to) medication, hand hygiene, infection control, health and safety and manual handling.  Specific learning tools include restraint, infection control, abuse and neglect.  Attendance records were reviewed and evidenced that attendance numbers are satisfactory.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have a first aid certificate and all staff who administer medications have medication competency.  The facility manager and part time registered nurse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are able to attend external training including conferences and seminars.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Fendalton retirement village has a roster in place that ensures that there is sufficient staff rostered.  There is a registered nurse on duty Monday to Friday, and an additional registered nurse who works four hours per week and as required.  Each shift is led by a team leader (enrolled nurse or senior caregiver) as well at three caregivers each shift during the day and one at night.  Core care staffing was reported as stable.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in place that follows recognised standards and guidelines for safe medicine management practice in accordance with the guideline: medicines care guides for aged residential care.  Registered nurses, enrolled nurses and team leaders (senior caregivers) administer medications and have attended annual medication education.  All staff who administer medications have completed an annual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medications are checked on delivery against the medication chart by the team leader on duty.  Medication fridges are used to store medications requiring refrigeration and are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was observed and the procedure followed by the enrolled nurse was correct and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paper-based medication management system.  One resident was self-medicating inhalers at the time of audit. Three monthly competencies and GP reviews were documented. The service has addressed this previous audit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 ten rest home (including the respite care resident) and two rest home residents in the serviced apartments. All medication charts had photo identification and allergy status identified.  Medications have been documented as given as prescribed (paper-based).  Medication charts had been reviewed at least three monthly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lunch and evening meals are prepared and cooked at the neighbouring Elmswood retirement village site and transported to Fendalton retirement village.  The main cook at Fendalton prepares breakfast, soups, sandwiches and provides fresh baking. Two kitchenhands are also employed.  The menus are reviewed six monthly by a dietitian.  Meals are transported in hot boxes, held in the kitchen in bain-maries adjacent to the rest home dining room, and served directly to residents.  Food temperatures are recorded prior to serving. Kitchen staff were trained in safe food handling and food safety procedures were adhered to.  Fridge, freezer and meal temperatures are recorded and action taken as needed.  Cleaning schedules are maintained.  All foods were dated and stored correctly.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delivering meals and assisting residents with their lunchtime meals as required.  Diets were modified as required.  Resident dietary profiles, likes, and dislikes were known to food services staff and any changes were communicated to the kitchen via the registered nurse.  Supplements have been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undertaken.  Food satisfaction surveys are conducted.  Resident meetings discuss food as part of their meetings.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or nurse specialist consultation.  There is documented evidence of family notification for a resident change in health status.  Five resident files were reviewed including one respite resident in the serviced apartments.  Long-term care plans reflected all resident needs and short-term care plans have been documented for short-term/acute needs such as wound and infections.  Monitoring charts (such as blood sugar levels, weight, blood pressure and food and fluid charts) have been completed as directed.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Skin and wound assessment/evaluation tools are in place for five residents with wounds.  One resident has five dressings and has been seen by the wound specialist.  The other resident wounds include two chronic ulcers and two skin tears.  All wounds had been re-dressed and evaluated within set timeframes, and wound care documentation was complete.  There were short-term care plans in place for the management of all wounds and infections or changes had been made to the long-term care plan.  Photographs and wound evaluations provide a record of the healing progress.  Wound management in-service has been provided as part of annual training.  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continues to provide a comprehensive activities programme over five days each week.  The programme is planned monthly and residents receive a personal copy of planned monthly activities.  Activities planned on the day were displayed on noticeboards around the facility.  Resident files include a personalised activities assessment and plan.  Activities are also scheduled for the weekend which staff facilitate.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join in activities that are appropriate and meaningful and residents are encouraged to participate in community activities.  The service has a van that is used for resident outings and a car that is used for resident transport.  Residents were observed participating in activities on the days of audit.  The residents in the serviced apartments have the opportunity to attend the rest home programme.  Resident meetings provide a forum for feedback relating to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complimentary of the activities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reviewed and resident care is evaluated six monthly.  This was evidenced in the longer-term resident files reviewed.  Six monthly reassessments include an InterRAI assessment.  Written evaluations are completed in consultation with the multidisciplinary team including the GP and any other allied health professionals involved in the care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that expires on 1 August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team is representative of all staff.  Infection surveillance and monitoring is an integral part of the infection control programme and is described in the infection monitoring policy.  Monthly infection data is collected for all infections.  </w:t>
            </w:r>
          </w:p>
          <w:p w:rsidR="00EB7645" w:rsidRPr="00BE00C7" w:rsidP="00BE00C7">
            <w:pPr>
              <w:pStyle w:val="OutcomeDescription"/>
              <w:spacing w:before="120" w:after="120"/>
              <w:rPr>
                <w:rFonts w:cs="Arial"/>
                <w:b w:val="0"/>
                <w:lang w:eastAsia="en-NZ"/>
              </w:rPr>
            </w:pPr>
            <w:r w:rsidRPr="00BE00C7">
              <w:rPr>
                <w:rFonts w:cs="Arial"/>
                <w:b w:val="0"/>
                <w:lang w:eastAsia="en-NZ"/>
              </w:rPr>
              <w:t>Individual short-term care plans are available for each type of infection.  Surveillance of all infections is entered onto a monthly infection summary.  This data is monitored and evaluated two monthly as part of the infection control meeting and reported monthly to the quality meeting where outcomes and actions are discussed.  Annual reviews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there is an emergent issue, it is acted upon in a timely manner.  A recent respiratory outbreak was reported and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restraint minimisation and safe practice policy in place.  There is a documented definition of restraint and enablers, which are congruent with the definition in NZS 8134.0.  The policy includes restraint procedures.  Enablers are voluntary.  The service has no residents with enablers or restraint.</w:t>
            </w:r>
          </w:p>
          <w:p w:rsidR="00EB7645" w:rsidRPr="00BE00C7" w:rsidP="00BE00C7">
            <w:pPr>
              <w:pStyle w:val="OutcomeDescription"/>
              <w:spacing w:before="120" w:after="120"/>
              <w:rPr>
                <w:rFonts w:cs="Arial"/>
                <w:b w:val="0"/>
                <w:lang w:eastAsia="en-NZ"/>
              </w:rPr>
            </w:pPr>
            <w:r w:rsidRPr="00BE00C7">
              <w:rPr>
                <w:rFonts w:cs="Arial"/>
                <w:b w:val="0"/>
                <w:lang w:eastAsia="en-NZ"/>
              </w:rPr>
              <w:t>Staff are trained in restraint minimisation, challenging behaviour and de-escalation and competencies are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Fendalton Lifecare (2006) Limited</w:t>
    </w:r>
    <w:bookmarkEnd w:id="58"/>
    <w:r>
      <w:rPr>
        <w:rFonts w:cs="Arial"/>
        <w:sz w:val="16"/>
        <w:szCs w:val="20"/>
      </w:rPr>
      <w:tab/>
      <w:t xml:space="preserve">Date of Audit: </w:t>
    </w:r>
    <w:bookmarkStart w:id="59" w:name="AuditStartDate1"/>
    <w:r>
      <w:rPr>
        <w:rFonts w:cs="Arial"/>
        <w:sz w:val="16"/>
        <w:szCs w:val="20"/>
      </w:rPr>
      <w:t>29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