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Mateus Enterprises Limited - Seaview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Mateus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Seaview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2016</w:t>
      </w:r>
      <w:bookmarkEnd w:id="7"/>
      <w:r w:rsidRPr="009418D4">
        <w:rPr>
          <w:rFonts w:cs="Arial"/>
        </w:rPr>
        <w:tab/>
        <w:t xml:space="preserve">End date: </w:t>
      </w:r>
      <w:bookmarkStart w:id="8" w:name="AuditEndDate"/>
      <w:r w:rsidR="00A4268A">
        <w:rPr>
          <w:rFonts w:cs="Arial"/>
        </w:rPr>
        <w:t>18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Seaview Home is a family owned and operated rest home.  The service is governed by four directors, and managed by the clinical manager, who is also one of the directors.  The clinical manager has been in the role of clinical manager and company director for 23 years.</w:t>
      </w:r>
    </w:p>
    <w:p w:rsidRPr="00A4268A">
      <w:pPr>
        <w:spacing w:before="240" w:line="276" w:lineRule="auto"/>
        <w:rPr>
          <w:rFonts w:eastAsia="Calibri"/>
        </w:rPr>
      </w:pPr>
      <w:r w:rsidRPr="00A4268A">
        <w:rPr>
          <w:rFonts w:eastAsia="Calibri"/>
        </w:rPr>
        <w:t xml:space="preserve">The service is certified to provide rest home level care for up to 28 residents, with 23 residents on the day of audit.  </w:t>
      </w:r>
    </w:p>
    <w:p w:rsidRPr="00A4268A">
      <w:pPr>
        <w:spacing w:before="240" w:line="276" w:lineRule="auto"/>
        <w:rPr>
          <w:rFonts w:eastAsia="Calibri"/>
        </w:rPr>
      </w:pPr>
      <w:r w:rsidRPr="00A4268A">
        <w:rPr>
          <w:rFonts w:eastAsia="Calibri"/>
        </w:rPr>
        <w:t>The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  The clinical manager works full time and is supported by a part time, experienced registered nurse.</w:t>
      </w:r>
    </w:p>
    <w:p w:rsidRPr="00A4268A">
      <w:pPr>
        <w:spacing w:before="240" w:line="276" w:lineRule="auto"/>
        <w:rPr>
          <w:rFonts w:eastAsia="Calibri"/>
        </w:rPr>
      </w:pPr>
      <w:r w:rsidRPr="00A4268A">
        <w:rPr>
          <w:rFonts w:eastAsia="Calibri"/>
        </w:rPr>
        <w:t xml:space="preserve">The service is implementing a quality risk management system.  Residents, families and general practitioner interviewed commented positively on the standard of care and services provided at Seaview Home.  </w:t>
      </w:r>
    </w:p>
    <w:p w:rsidRPr="00A4268A">
      <w:pPr>
        <w:spacing w:before="240" w:line="276" w:lineRule="auto"/>
        <w:rPr>
          <w:rFonts w:eastAsia="Calibri"/>
        </w:rPr>
      </w:pPr>
      <w:r w:rsidRPr="00A4268A">
        <w:rPr>
          <w:rFonts w:eastAsia="Calibri"/>
        </w:rPr>
        <w:t>The certification audit identified that improvements are required around documentation of meetings, RN follow-up following incidents, care plan documentation including family input into care, the medication process and ensuring a first aider on every shift.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Seaview Home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  Complaints processes are implemented and managed in-line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Seaview Home is implementing a quality and risk management system that supports the provision of clinical care.  Quality data is collated for accident/incidents, infection control, internal audits, concerns and complaints, and surveys.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A registered nurse is responsible for each stage of service provision.  A registered nurse assesses and reviews each resident’s needs, outcomes and goals at least six 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 medicine charts were reviewed by the general practitioner at least three monthly.     </w:t>
      </w:r>
    </w:p>
    <w:p w:rsidRPr="00A4268A" w:rsidP="00621629">
      <w:pPr>
        <w:spacing w:before="240" w:line="276" w:lineRule="auto"/>
        <w:rPr>
          <w:rFonts w:eastAsia="Calibri"/>
        </w:rPr>
      </w:pPr>
      <w:r w:rsidRPr="00A4268A">
        <w:rPr>
          <w:rFonts w:eastAsia="Calibri"/>
        </w:rPr>
        <w:t xml:space="preserve">An activities coordinator and director/carer implement the activity programme for the residents.  The programme includes community visitors and outings, entertainment and activities that meet the individual recreational, physical, cultural and cognitive abilities and preferences for the residents.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All meals and baking are cooked on site.  Food, fluid, and nutritional needs of residents are provided in-line with recognised nutritional guidelines and additional requirements/modified needs were being met, as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access to an adequate number of communal shower/toilet facilities.  Documented policies and procedures for the cleaning and laundry services are implemented with appropriate monitoring systems in place to evaluate the effectiveness of these services.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is practiced and overseen by the registered nurse.  There are no residents using enablers or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A suite of infection control policies and guidelines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9"/>
        <w:gridCol w:w="1280"/>
        <w:gridCol w:w="9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Seaview Home has policies and procedures that align with the requirements of the Code of Health and Disability Services Consumer Rights (the Code).  Four caregivers, an activities person, one registered nurse (RN) and one clinical manager were able to describe how they incorporate resident choice into their activities of daily living.  The service actively encourages residents to have choices and this includes voluntary participation in daily activities as confirmed on interview with five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the five resident files reviewed.  Advance directives, if known, were on the resident files.  Resuscitation plans were sighted in all files and were signed appropriately.  Copies of EPOA were included in the resident files as required.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sampled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to residents in the service entrance.  Interviews with residents and family confirmed they were aware of their right to access advocacy.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Staff training in Code of Rights and advocacy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which aligns with Right 10 of the Code.  The clinical manager leads the investigation of concerns/complaints.  Complaints forms are visible and available for relatives/residents.  A complaints procedure is provided to residents within the information pack at entry.  The complaints file was reviewed. There is an up to date complaints register.  Two complaints from 2015 and one from 2016 were reviewed; all document that appropriate and timely responses have been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and residents are informed of any liability for payment of items not included in the scope of the service.  This is included in the service agreement.  Residents and four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Residents interviewed confirmed staff respect their privacy, and support residents in making choices where they are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stored securely.  There are clear instructions provided to residents on entry regarding responsibilities of personal belonging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and a cultural safety policy that includes a description of how they will achieve the requirements set out in A3.1 (a) to (e).  Currently, there are residents who identify as Māori.  Linkages with Māori community groups are available and accessed as required, such as visits to the local Marae.  Staff receive education on cultural awareness during their induction to the service and as a regular in-service topic.  All caregivers interviewed were aware of the importance of whānau in the delivery of care for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included the residents’ values, spiritual and cultural beliefs.  Six monthly reviews occur to assess if the resident’s needs are being met.  Discussion with family and residents confirm values and beliefs are considered.  Residents are supported to attend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are in place for all roles within the service.  The RNs and allied health professionals practice within their scope of practice.  Management and staff meetings include discussions on professional boundaries and concerns/complaints as they arise.  Interviews with the clinical manager, the registered nurse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robust policies and procedures in place that meet the health and disability safety sector standards.  Staff state they are made aware of new/reviewed policies.  Staff report the clinical manager is approachable and supportive.  Allied health professionals are available to provide input into resident care.  Staff complete relevant workplace competencies.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clinical manager and relatives interviewed confirm family are kept informed.  Relatives stated they are notified promptly of any incidents/accidents and the clinical manager is very approachable.  Newsletters from the service ensure that families are updated regarding service changes.</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Home is a family owned and operated rest home.  The service is governed by four directors and managed by the clinical manager, who is also one of the directors.  The service is certified to provide rest home level care for up to 28 residents with 23 residents on the day of audit.  This included one respite resident and one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experienced in aged care and has been in the role for over 20 years.  She maintains an annual practicing certificate.  A registered nurse is also available on a casual basis to relieve the clinical manager and to provide on-call cover.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plan for 2016 and a quality plan for 2016.  The service has an annual audit schedule to monitor the goals and service delivered.  Quality data is collected analysed and communicated to staff via the staff meetings.  The clinical manager has maintained at least eight hours annually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with support from the owners/directors, provides cover in the absence of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Seaview Home has a quality and risk programme.  The programme includes analysis of incidents, infections and complaints, internal audits and feedback from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confirmed they are made aware of any new/reviewed policies.  Assessment policies have been updated to include reference to the use of the InterRAI assessment tool.</w:t>
            </w:r>
          </w:p>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and a quality and risk management plan for 2016 in place.  Progress with the quality and risk management programme is monitored through the staff meetings.  Monthly and annual reviews are completed for all areas of service.  Minutes for staff meetings include actions to achieve compliance where relevant.  Discussions with the clinical manager and caregivers confirm their involvement in the quality programme.  Resident/relative meetings have been held three monthly.  There is an implemented internal audit schedule in place for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and provides follow-up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 clinical manager, along with another director, is responsible for health and safety.  There is a current hazard register.  Staff confirm they are kept informed on health and safety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(eight) for July 2016 were sampled.  Not all incident forms documented RN review of the incident and opportunities to minimise further risk (also link to 1.3.6.1 for neurological observations).  Accidents/incidents were recorded in the resident progress notes, and changes made to care plan documentation as needed.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incident and accident data are discussed at the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manager confirm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contained all relevant employment documentation for one cook, one RN, one activities person and two care givers.  Current practising certificates were sighted for the registered nurses.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The clinical manager has completed InterRAI training and the RN is on the DHB waiting list.  Clinical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clinical manager is on-site full time and available after hours.  The registered nurse is on duty as needed.  The caregivers, residents and family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admission.  Five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Care staff and the RNs who administer medications have completed medication competency and education on an annual basis.  Medications are checked on delivery against the medication chart as evidenced by RN signature on the blister packs.  Standing orders are in use however, two household remedies administered were not prescribed or on the standing orders.  One resident was self-medicating but did not have a self-medication competency completed.  All medications were stored safely.  The medication fridge is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had photo identification and an allergy status on the medication chart.  Not all medication charts had medications dated.  The GP has reviewed the medication charts three monthly.  The administration signing sheets reviewed identified not all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Seaview Home are prepared and cooked on site.  The cooks are supported by afternoon kitchenhands.  A four-weekly seasonal menu has been reviewed by a dietitian (June 2016).  Meals are served directly from the bain-marie in the kitchen to residents in the dining room adjacent to the open plan kitchen area.  Dietary needs are known with individual likes and dislikes accommodated.  Dietary requirements, cultural and religious food preferences are met.  Additional or modified foods are also provided by the service as required.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are monitored and recorded.  Containers of food are labelled and dated.  All perishable goods in fridges are date labelled.  The dishwasher is checked regularly by the chemical supplier.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 and safe food management policies define the requirements for all aspects of food safety.  A kitchen cleaning schedule is in place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as required.  An InterRAI assessment is undertaken within 21 days of admission and six monthly, or earlier due to health changes for long-term residents under the ARCC.  An InterRAI assessment was not required for the younger person.  Resident needs and supports are identified through the ongoing assessment process in consultation with the resident and significant others and form the basis of the care plan.  InterRAI assessments, assessment notes and summaries were available for review.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Not all care plans documented the required supports/needs to reflect the resident’s current health status.  Residents and relatives interviewed confirmed they were involved in the care planning process. Short-term care plans were sighted for short-term needs.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dietitian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reviewed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and ongoing wound monitoring form was in place for one skin tear.  There were no pressure injuries on the day of audit.  There is pressure prevention equipment available to minimise pressure injuries for residents assessed at risk of pressure injury.  There is access to a wound nurse specialist from the DHB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and challenging behaviour.  Not all care issues had documented interventions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who has been in the role six years. The staff member works 25 hours per week Monday to Friday, implementing the afternoon programme from 1-4 pm.  The morning programme from 11am is provided by one of the directors, also a senior caregiver.  The activity coordinator attends three monthly diversional therapy group meetings and has attended “walking in another’s shoes” course.  Activities provided are appropriate to the needs, age and culture of the residents.  The activities are meaningful and include (but not limited to) adult colouring, arts, music, exercises, news, quizzes, entertainers, inter-home competitions, happy hours and outings/drives.  Residents are involved in community groups such as RSA, men’s group and senior events such as concerts and lunches.  The ladies knitting group are involved in knitting for charities.  Community visitors “good companions” are involved in activities such as housie, poetry readings and one-on-one chats/activities.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on admission and the resident individual activity plan is incorporated in the overall resident care plan which is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the resident meetings.  The service receives feedback on activities through one-on-one feedback,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evaluated all initial care plans reviewed within three weeks of admission and a long-term care plan developed for permanent residents.  Care plans had been evaluated six monthly however, there was no written evaluation to identify if goals had been met or not.  The GP reviews the residents at least three monthly or earlier if required.  Ongoing nursing evaluations occur as indicated and are documented within the progress note.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with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are readily accessible for staff.  Chemical bottles sighted have correct manufacturer labels.  Chemicals are stored in locked areas.  A chemical spills kit is available.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2017.  The facility is situated on an elevated section (previously the Picton hospital) and has been earthquake strengthened.  </w:t>
            </w:r>
          </w:p>
          <w:p w:rsidR="00EB7645" w:rsidRPr="00BE00C7" w:rsidP="00BE00C7">
            <w:pPr>
              <w:pStyle w:val="OutcomeDescription"/>
              <w:spacing w:before="120" w:after="120"/>
              <w:rPr>
                <w:rFonts w:cs="Arial"/>
                <w:b w:val="0"/>
                <w:lang w:eastAsia="en-NZ"/>
              </w:rPr>
            </w:pPr>
            <w:r w:rsidRPr="00BE00C7">
              <w:rPr>
                <w:rFonts w:cs="Arial"/>
                <w:b w:val="0"/>
                <w:lang w:eastAsia="en-NZ"/>
              </w:rPr>
              <w:t>One of the directors is responsible for the daily and ongoing internal maintenance of the facility.  The planned maintenance schedule includes checking of resident equipment such as wheelchairs and monthly hot water temperature monitoring.  Rooms are refurbished as they become vacant.  Essential contractors are available 24 hours.  Electrical testing is completed annually.  Annual calibration and functional checks of medical equipment (including a hoist),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there is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several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and RNs interviewed stated they have sufficient equipment including six hi-lo beds and pressure injury resources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 and shower facilities are of an appropriate design to meet the needs of the residents.  There are adequate numbers of communal use bathrooms/toilets in each wing.  All bedrooms have hand basins.  Communal toilet facilities have a system that indicates if it is engaged or vacant.  Residents confirmed staff respect their privacy while attending to their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There is adequate room for residents to safely manoeuvre using mobility aids.  Residents and families are encouraged to personalise their 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separate lounge and dining area.  Seating and space is arranged to allow both individual and group activities to occur.  There is a separate smaller lounge and seating nooks available for quiet activities or visitors.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Carers complete laundry duties and there is a designated cleaner to complete cleaning duties.  The cleaner’s trolley is stored safely when not in use.  The laundry has a defined clean/dirty area.  The commercial washing machine and dryer are serviced regularly.  Residents and family interviewed reported satisfaction with the cleaning and laundry service.  Internal audits and the chemical provider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including barbeque, bottled water and water in ceiling tanks and enough food storage and supplies (batteries, radio and torches) for at least three days.  There is emergency power lighting for up to 11 hours.  The service has first priority for a generator through a local contractor.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fire evacuation scheme and conducts six monthly fire drills.  The fire safety provider completes monthly fire checks.  Not all shifts evidenced a trained first aider on duty at all times and the van driver does not have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Security policies and procedures are documented and implemented by staff.  The buildings are secure at night with afterhour’s doorbell access.  The local police complete random security checks of the facility and grounds.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an environment that is maintained at a safe and comfortable temperature.  The heating in each room can be individually controlled.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good sized external opening windows which are designed to maximise the view of the harbour.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clinical manager is the infection control coordinator and is responsible for infection control across the facility.  The management team in conjunction with an external contractor, is responsible for the development of the infection control programme and its review.  The infection control programme is well established.  The infection control committee consists of a cross-section of staff and is part of the monthly staff meeting.  There is external input as required from general practitioners and Medlab.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managed by the infection control coordinator (clinical manager).  The infection control coordinator has maintained current knowledge of infection prevention and control.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has been provided in the past year.  Staff receive education on orientation and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The clinical manager at Seaview is the infection control nurse.  An individual resident infection form is completed which includes signs and symptoms of infection, treatment, follow-up, review and resolution.  Surveillance of all infections is entered onto a monthly facility infection summary and staff are informed.  This data is monitored and evaluated monthly and annually.  Infection control education has been provided.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practiced.  The clinical manager oversees the restraint process within the facility.  There are policies around restraint, enablers and the management of residents who may exhibit behaviours that challenge.  The service currently has no residents using enablers or restraints.  Any resident requiring restraint or who exhibited behaviours that may challenge would be reassessed to determine their suitability to continue to reside in the rest home.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2"/>
        <w:gridCol w:w="1280"/>
        <w:gridCol w:w="4147"/>
        <w:gridCol w:w="2989"/>
        <w:gridCol w:w="2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were completed for all resident incidents and accidents.  Staff interviewed stated that they have very good support and guidance from the clinical manager at the time of any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eight incident forms reviewed for July 2016, five were not fully completed by the RN.  Opportunities to minimise further risks were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incident forms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prescribing of medications is completed on the medication chart by the GP.  The medication charts were legible and signed by the GP.  Five medication charts had “dittos” used for the dates of medications prescribed.  Six administration signing sheets reviewed evidenced correct administration of medications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Five medications charted had “dittos” used for dating of medications prescribed; 2) two prescribed medications had not been signed as administered; and 3) two residents with over the counter remedies did not have these prescribed on the medication charts.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Each medication is to be dated as per the MOH medication guidelines; 2) Ensure medications are administered as prescribed; and 3) ensure that over the counter remedies are prescribed on the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self-medicating on the day of audit.  Medications were stored safely.  The resident informed staff when the as required were self-medicated.  The GP had approved (in medical notes) the resident to self-medicate however a self-medication competency had not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had approved (in medical notes) the resident to self-medicate however, a self-medication competency had not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self-medication competencies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four long-term care plans documented interventions to meet the resident’s goals, supports and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long-term care plans did not document interventions for 1) the signs symptoms and management of hypoglycaemia for one resident on insulin, and 2) the management of shortness of breath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 care plans document interventions to meet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however there are no interventions for three residents with weight loss.  Neurological observations had not been completed for two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were no documented interventions/short-term care plans in place for three residents identified with unintentional weight loss and 2) there were no neurological observations for two unwitnessed falls, one with a known head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short-term care plans/interventions are in place for weight loss and 2) ensure neurological observations are completed for unwitnessed falls.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had been evaluated six monthly for the five resident files reviewed.  There were no written evaluations to identify changes to care, supports or needs to meet the resident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written evaluations in place to identify if the resident goals and been met or not, and there were no changes made to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care plans are updated following six monthly care plan evaluations or as required due to health changes.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training on emergency procedures during their orientation and ongoing as part of the training programme.  An external trainer provides first aid training including cardiopulmonary resuscitation (CPR).  Not all shifts had been covered by a staff member with a current CPR certificate.  The van driver does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Eight shifts in the fortnight are not covered by a staff member trained in first aid; and 2) the van driver for resident transport does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that there is at least one staff member with a current first aid certificate on duty; and 2) ensure the person who drives the facility van has a current first aid certificate.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Mateus Enterprises Limited - Seaview Home</w:t>
    </w:r>
    <w:bookmarkEnd w:id="58"/>
    <w:r>
      <w:rPr>
        <w:rFonts w:cs="Arial"/>
        <w:sz w:val="16"/>
        <w:szCs w:val="20"/>
      </w:rPr>
      <w:tab/>
      <w:t xml:space="preserve">Date of Audit: </w:t>
    </w:r>
    <w:bookmarkStart w:id="59" w:name="AuditStartDate1"/>
    <w:r>
      <w:rPr>
        <w:rFonts w:cs="Arial"/>
        <w:sz w:val="16"/>
        <w:szCs w:val="20"/>
      </w:rPr>
      <w:t>17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