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Elsdon Enterprises Limited - Thornbury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Elsdon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Thornbury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September 2016</w:t>
      </w:r>
      <w:bookmarkEnd w:id="7"/>
      <w:r w:rsidRPr="009418D4">
        <w:rPr>
          <w:rFonts w:cs="Arial"/>
        </w:rPr>
        <w:tab/>
        <w:t xml:space="preserve">End date: </w:t>
      </w:r>
      <w:bookmarkStart w:id="8" w:name="AuditEndDate"/>
      <w:r w:rsidR="00A4268A">
        <w:rPr>
          <w:rFonts w:cs="Arial"/>
        </w:rPr>
        <w:t>13 September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Thornbury House is certified to provide dementia level care for up to 33 residents.  On the day of audit, there were 32 residents.  The service is managed by a diversional therapist, who reports to the owners.  </w:t>
      </w:r>
    </w:p>
    <w:p w:rsidRPr="00A4268A">
      <w:pPr>
        <w:spacing w:before="240" w:line="276" w:lineRule="auto"/>
        <w:rPr>
          <w:rFonts w:eastAsia="Calibri"/>
        </w:rPr>
      </w:pPr>
      <w:r w:rsidRPr="00A4268A">
        <w:rPr>
          <w:rFonts w:eastAsia="Calibri"/>
        </w:rPr>
        <w:t xml:space="preserve">Families interviewed were complimentary of the service provided to residents.  Staff turnover has been low. </w:t>
      </w:r>
    </w:p>
    <w:p w:rsidRPr="00A4268A">
      <w:pPr>
        <w:spacing w:before="240" w:line="276" w:lineRule="auto"/>
        <w:rPr>
          <w:rFonts w:eastAsia="Calibri"/>
        </w:rPr>
      </w:pPr>
      <w:r w:rsidRPr="00A4268A">
        <w:rPr>
          <w:rFonts w:eastAsia="Calibri"/>
        </w:rPr>
        <w:t xml:space="preserve">This certification audit was conducted against the health and disability service standards and the district health board contract.  The audit process included a review of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 xml:space="preserve">The audit has identified that improvements are required around the consent process, meeting minutes, corrective actions, incident reporting and clinical follow up, staff training, signing and dating of documentation, timeframes for care planning, progress notes entries, assessments, care planning, medication management, medication competencies, the building warrant of fitness and infection control practices.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Thornbury House provides care in a way that focuses on the individual resident.  Cultural and spiritual assessment is undertaken on admission and during the review processes.  Policies are implemented to support individual rights such as privacy, dignity, abuse/neglect, culture, values and beliefs, complaints, advocacy and informed consent.  Information about the Code and related services is readily available to residents and families/whānau.  Information on informed consent is included in the admission agreement and discussed with residents (where able) and family.  Care plans identify the choices of residents and/or their family/whānau.  Care plans accommodate the choices of residents and/or their family.  Complaints processes are implemented and managed in line with the Code.  Family interviewed verified ongoing involvement with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Thornbury House is part of the Elsdon Enterprises Group.  The manager is supported by registered nurses.  Thornbury House has a documented quality and risk management system that supports the provision of clinical care.  Quality data is collated for accident/incidents, infections, internal audits, concerns and complaints, and surveys.  There are human resources policies including recruitment, job descriptions, selection, orientation and staff training and development.  The service has an orientation programme that provides new staff with relevant information for safe work practice.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to the service is managed by the registered nurses.  There is comprehensive service information available.  Care plans and reviews are completed by a registered nurse.  Each resident has access to an individual and group activities programme.  The group programme is varied and interesting.  Medication management policies are in place. General practitioners review residents at least three monthly or more frequently if needed.  Meals are prepared on site and the menu is varied and appropriate.  Individual and special dietary needs are catered for.  Alternative options are provided.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Chemicals are stored safely throughout the facility.  Appropriate policies are available along with product safety charts.  Resident rooms are of sufficient size with an adequate number of shower and toilet facilities for the number of residents.  There is wheelchair access to all areas.  External areas are safe and well maintained.  Fixtures fittings and flooring is appropriate and toilet/shower facilities are constructed for ease of cleaning.  Cleaning and laundry services are monitored through the internal auditing system.  Appropriate training, information and equipment for responding to emergencies has been provided.  There is an approved evacuation scheme and emergency supplies for at least three days.  All staff hold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Thornbury House has restraint minimisation and safe practice policies and procedures in place.  Staff receive training in restraint minimisation and challenging behaviour management.  There were no residents with restraints or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a registered nurse.  There is a suite of infection control policies and guidelines that meet infection control standards.  The infection control programme is reviewed annually.  Staff receive annual infection control education.  Surveillance is used to determine quality assurance activities and education needs for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6</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79"/>
        <w:gridCol w:w="1280"/>
        <w:gridCol w:w="97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Thornbury House dementia care has policies and procedures that align with the requirements of the Code of Health and Disability Services Consumer Rights (the Code).  Four care workers, one diversional therapist, one activities coordinator and two registered nurses (RN) interviewed were able to describe how they incorporate resident choice into their activities of daily living.  Training has not been provided recently around the code of rights (link 1.2.7.5).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Advanced directives and medical care guidance instructions were recorded, as evidenced in six resident files reviewed.  Residents have an activated enduring power of attorney in place (EPOA).  There was evidence that family involvement occurs. Family members/EPOA interviewed confirmed that information was provided to enable informed choices, and that they were able to decline or withdraw their consent however, not all residents in shared rooms had consent documented.  Resident admission agreements were signed.  Care workers and the registered nurses interviewed confirmed verbal consent is obtained when delivering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are provided with a copy of the Code of Health and Disability Services Consumer Rights and Advocacy pamphlet on admission.  Interviews with family confirmed they were aware of their right to access advocacy.  Advocacy pamphlets are displayed in the foyer.  Resident files reviewed, confirmed that the service provides opportunities for the family/EPOA to be involved in decisions.  The resident files included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interview, family members confirm that they can visit at any time and are encouraged to be involved with the service and care.  Residents are facilitated wherever possible and appropriate to maintain former activities and interests in the community.  They are supported to attend family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facility manager leads the investigation of any concerns/complaints.  Thornbury House has compliments, suggestions and complaints information visibly displayed in the main entrance.  There is a suggestions/complaints box.  The service has responded appropriately to two complaints received in 2016 (there were none in 2015) within the required timeframes and to the satisfaction of the complainant.  The complaints register is up to date.  Management operate an “open door”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that includes information about the Code and this is discussed during the admission process with the resident and family.  Four family members interviewed confirmed they received all the relevant information during admission.  The information pack provided on entry includes how to make a complaint, Code of Rights pamphlet, and advocacy and Health &amp; Disability (H&amp;D) Commission brochure.   </w:t>
            </w:r>
          </w:p>
          <w:p w:rsidR="00EB7645" w:rsidRPr="00BE00C7" w:rsidP="00BE00C7">
            <w:pPr>
              <w:pStyle w:val="OutcomeDescription"/>
              <w:spacing w:before="120" w:after="120"/>
              <w:rPr>
                <w:rFonts w:cs="Arial"/>
                <w:b w:val="0"/>
                <w:lang w:eastAsia="en-NZ"/>
              </w:rPr>
            </w:pPr>
            <w:r w:rsidRPr="00BE00C7">
              <w:rPr>
                <w:rFonts w:cs="Arial"/>
                <w:b w:val="0"/>
                <w:lang w:eastAsia="en-NZ"/>
              </w:rPr>
              <w:t>Relatives are informed of the scope of services and any liability for payment for items not included in the scope.  This is included in the service agreement.  Information is included specific to the management of challenging behaviours and the services no-restraint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practice in respect of independence, privacy and respect.  Staff were observed to be respectful of residents’ personal privacy by knocking on doors prior to entering resident rooms during the audit.  Family members interviewed confirmed staff respect the resident’s privacy, and supported residents in making choice where able.  Resident files are stored securely.  The service has a philosophy focused around promoting quality of life, involving residents in decisions about their care, respects their rights and maintains privacy and individuality.  Resident preferences are identified during the admission and care planning process with resident/family involvement.  Resident files reviewed identified that cultural and/or spiritual values and individual preferences are identified on admission and integrated with the residents'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Thornbury House has a Māori health plan that includes a description of how they will achieve the requirements set out in A3.1 (a) to (e).  Activity assessments identify cultural beliefs and values for Māori.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cultural safety policy to guide practice, including recognition of Māori values and beliefs and identify culturally safe practices for Māori.  Staff interviewed were able to describe how they would ensure Māori values and beliefs are met.  Staff have attended cultural safety and awareness training.  The service has access to a Māori advisor in response to resident and family requests or needs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are invited to be involved in care planning and any beliefs or values are further discussed and incorporated into the care plan.  Six resident care plans reviewed included the residents’ social, spiritual, cultural and recreational needs.  Six monthly reviews occur to assess if the residents’ needs are being met.  Discussion with family confirms values and beliefs are considered.  Residents are provided with church services of their choice.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and signed copies of all employment documents are included in the seven staff files sampled.  Staff comply with confidentiality and the code of conduct.  Qualified staff practice within their scope of practice.  Staff meetings include discussions on professional boundaries and concerns/complaints as they arise (minutes sighted).  Interviews with the manager, RNs and care workers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Thornbury House policies and procedures meet the health and disability safety sector standards.  New and reviewed policies and meeting minutes are made available to staff.  An environment of open discussion is promoted.  Staff report that the facility manager and registered nurse (RN) are approachable and supportive.  Allied health professionals are available to provide input into resident care.  Services are provided at Thornbury House that adhere to the health and disability services standards.  Discussions with family were positive about the care the residents receive.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Ten of ten incident forms reviewed for August 2016, identified family were notified following a resident incident/accident.  The facility manager and RN confirmed family are kept informed.  The relatives interviewed confirmed they are notified promptly of any incidents/accidents.  Family members advised that they are encouraged to discuss any concerns with the facility manager and/or registered nurse.  Non-Subsidised residents’ family are advised in writing of their eligibility and the process to become a subsidised resident should they wish to do so.  Family are also informed prior to entry of the scope of services and any items they have to pay that is not covered by the agreement.  The service has access to an interpreter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Thornbury House provides care for up to 33 rest home dementia level of care residents with occupancy of 32 on the day of audit.  One resident was on a long-term support contract and all others were under the aged related residential care contract.  The service is part of the Elsdon Enterprises Group who provides governance and management support to the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non-clinical manager is responsible for day-to-day running of the home, with clinical oversight provided by a registered nurse and another part time registered nurse.  Thornbury House has a quality assurance and risk management programme that was recently purchased from an external provider.  There is a business plan for 2015 – 2017 that includes a mission statement and operational objectives.  There is a risk management schedule and documented quality objectives that align with the identified values and philosophy.  </w:t>
              <w:br/>
              <w:t xml:space="preserve">The manager has maintained at least eight hours annually of professional development activities related to managing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of Thornbury House has been in the role for nine years and works full time.  The activities coordinator/assistant manager has been at the service for 15 years and completes the manager’s role in her absence.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system has been recently changed with the purchase of an external quality and risk management system, including a new quality plan.  The quality plan includes quality goals.  The system had very recently been implemented.  The service has in place a range of policies and procedures to support service delivery that have been recently purchased as part of the new quality and risk management system.  The policies include reference to the InterRAI Long-Term Care Facilities Assessment System (InterRAI LTCF).  </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are linked to the quality and risk management system including resident satisfaction, internal audits, health and safety, the management of adverse events, restraint minimisation and infection prevention and control.  Incident data is evaluated and results used for quality improvement.  The staff/quality meeting is where information on quality and risk management is conveyed to staff, as well as via handover sessions.  However, not all data is included in these meetings.  Corrective actions are not always documented and implemented.  Actual and potential risks are identified, documented and where appropriate communicated to residents, their family/whānau of choice, visitors, and those commonly associated with providing services.  The service maintains a risk register and a hazard register.  Policies are current and reflect recent changes to legislation.  The facility manager had been the health and safety officer, with a new person appointed the week before the audit.  Training is booked for this person.  Risks are identified, monitored, analysed, evaluated and reviewed at a frequency determined by the severity of the risk and the probability of change in the status of that risk.  Risks are actively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ten accident/incident forms for August 2016 were reviewed.  There has been RN notification and clinical assessment (except neurological observations) completed within a timely manner (link 1.3.3.4 regarding documentation of this).  Accidents/incidents were recorded in the resident progress notes but not all identified incidents had an incident form completed.  There is documented evidence the family/whānau had been notified promptly of accidents/incidents.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aggregated figures to the staff meetings (link 1.2.3.6).  Staff interviewed confirmed incident and accident data are discussed and information is made available.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management confirms an awareness of the requirement to notify relevant authorities in relation to essential notifications.  Public health were appropriately notified of a norovirus outbreak in August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Six staff files sampled (two registered nurses, the activities coordinator/assistant manager, a diversional therapist/care worker, the cook and a care worker) contained all relevant employment documentation.  Current practising certificates were sighted for the RNs, and allied health professionals.  Performance appraisals were up to date. The service has an orientation programme in place that provides new staff with relevant information for safe work practice.  Staff interviewed believed new staff were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The education planner in place includes at least monthly education but does not include all the compulsory education requirements.  The registered nurses (RN) have completed InterRAI training.  Staff complete competencies relevant to their role including medication, observations and safe manual handling.  Not all care workers have completed the required dementia standards.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A roster provides sufficient and appropriate coverage for the effective delivery of care and support.  There is an RN on duty Monday to Friday, with two RNs two days per week.  On call is managed on a rotating roster between the facility manager, the activities coordinator/assistant manager and the two RNs.  The RNs also provide back up call for clinical matters when the non-RN management are on call.  There is a minimum of two care workers on duty at any one time.  Staff and family interviewed reported that staffing is sufficient.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All relevant initial information is recorded within required timeframes into the resident’s individual record.  Resident records containing personal information is kept confidential.  Individual resident files demonstrate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Entries were legible but not always dated and signed by the relevant caregiver or registered nurse.  Policies contain the service name.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Family members and EPOA receive an information pack outlining services able to be provided, the admission process and entry to the service.  The manager and registered nurses screen all potential residents prior to entry and records all admission enquiries.  Family members interviewed confirmed they received information prior to admission and had the opportunity to discuss the admission agreement with the manager.  The admission agreement form in use aligns with the requirements of the ARC contract.  Exclusions from the service are included in the admission agreement.  The information provided at entry includes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stored securely.  Medication administration practice complies with the medication management policy for the medication round sighted.  The registered nurses or care workers administer medications.  Not all staff who administer medication have a current medication competency.  The facility uses a blister pack medication management system for the packaging of all tablets.  The RNs reconcile the delivery and this is documented.   Medical practitioners write medication charts and there was evidence of three monthly reviews by the GP.  Not all medications are managed in line with guidelines.  There were no residents self-administering medicines.  Standing orders in place do not meet the current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at Thornbury House is provided on site. The kitchen is located adjacent to the dining room and meals are served directly to residents.  Food service manuals are in place to guide staff.  A resident dietary profile is developed for each resident on admission and is provided to the kitchen staff.  The kitchen is able to meet the needs of residents who need special diets and the cooks’ work closely with the registered nurses.  Kitchen staff have completed food safety training.  The cooks follow a rotating menu, which has been reviewed by a dietitian.  The temperatures of refrigerators, freezers and cooked foods are routinely monitored and recorded.  There is special equipment available for residents if required.  All food is stored appropriately.  Residents and the family members interviewed were very happy with the quality and variety of food served.  There is extra food and snacks available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potential residents should this occur and communicates this decision to potential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six files sampled evidenced that appropriate personal needs information is gathered during admission in consultation with the resident, and their relative where appropriate.  This forms the basis of the initial care plan.  Not all resident files sampled evidenced that the InterRAI assessment tool and risk assessments had been used to form the basis of the long-term care plan. The InterRAI assessment outcomes were reflected in the long-term care plans where these have been completed. Six-monthly InterRAI reassessment has occurred for three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long-term care plans reviewed described all areas of the supports and interventions required to meet the resident’s goals and needs. The service is transitioning to a new care plan template.  Family/whānau are documented as involved in the care planning and review process.  Short-term care plans are in use for changes in health status.  Not all of the sample of files reviewed evidenced that an initial care plan had been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workers follow the care plan (link 1.3.5.2) and report progress against the care plan each shift (link 1.3.3.4).  If external nursing or allied health advice is required the RNs will initiate a referral (eg, to the district nurse).   If external medical advice is required, this will be actioned by the GP.  Staff have access to sufficient medical supplies (eg, dressings).  Sufficient 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place for behaviour management, fluid balance charts, and pain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documentation is available and includes assessments, management plans, progress and evaluations.  A stage-1 pressure injury for one resident was the only current wound.  There was a wound assessment, wound treatment chart and review documented. The RNs have access to specialist nursing wound care management advice through the district nursing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facilitates the activities programme for residents.  The activities team also includes two diversional therapists/care workers who provide the programme in the weekends.  The manager is also a diversional therapist.  Each resident has an individual activities assessment on admission and from this information, an individual activities plan has been developed by the activities staff for the resident files sampled.  The activities programme reflects the resident’s cognitive and physical abilities.  Activities in the home are provided for each morning and afternoon by the activities coordinator.  In the evening, an activities person is employed from 4.30pm - 8.00pm and is stationed in the lounge to ensure that residents are supervised and provided with quiet activities.  Care workers are also involved in the programme. </w:t>
            </w:r>
          </w:p>
          <w:p w:rsidR="00EB7645" w:rsidRPr="00BE00C7" w:rsidP="00BE00C7">
            <w:pPr>
              <w:pStyle w:val="OutcomeDescription"/>
              <w:spacing w:before="120" w:after="120"/>
              <w:rPr>
                <w:rFonts w:cs="Arial"/>
                <w:b w:val="0"/>
                <w:lang w:eastAsia="en-NZ"/>
              </w:rPr>
            </w:pPr>
            <w:r w:rsidRPr="00BE00C7">
              <w:rPr>
                <w:rFonts w:cs="Arial"/>
                <w:b w:val="0"/>
                <w:lang w:eastAsia="en-NZ"/>
              </w:rPr>
              <w:t>Each resident is free to choose whether they wish to participate the group activities programme or their individual plan.  Participation is monitored.  Group activities reflect ordinary patterns of life and include planned visits to the community.  Families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(link 1.3.5.2).  The long-term care plan is reviewed at least six monthly or earlier if there is a change in health status.  Reviews document progress toward goals.  There is at least a three monthly review by the GP.  Changes in health status are documented and followed up.  An RN signs care plan reviews.  Short-term care plans are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the access with other medical and non-medical services.  Referral documentation is maintained on resident files.  The nurses initiate referrals to nurse specialists and allied health services.  Other specialist referrals are made by the GPs.  Referrals and options for care were discussed with the family as evidenced in interviews and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chemicals were securely stored.  Chemicals were clearly labelled and safety material datasheets were available and accessible in all service areas.  The hazard register is current.  Staff interviewed confirmed they could access personal protective clothing and equipment at any time.  As observed during the audit staff were wearing gloves, aprons and hats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systems in place to ensure the physical environment and facilities are safe and fit for their purpose.  The facility building warrant of fitness expired on 28 June 2016.  The manager advised that the process of renewal is currently underway.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internal maintenance personnel and external contractors undertake maintenance.  Electrical safety test tag system shows this has occurred.  The facility is being maintained in good repair.  All maintenance records were reviewed and are clearly documented.  Review of the records reveals water temperatures are all below 45 degrees Celsius and whenever it was out of range, corrective actions had been taken.  </w:t>
            </w:r>
          </w:p>
          <w:p w:rsidR="00EB7645" w:rsidRPr="00BE00C7" w:rsidP="00BE00C7">
            <w:pPr>
              <w:pStyle w:val="OutcomeDescription"/>
              <w:spacing w:before="120" w:after="120"/>
              <w:rPr>
                <w:rFonts w:cs="Arial"/>
                <w:b w:val="0"/>
                <w:lang w:eastAsia="en-NZ"/>
              </w:rPr>
            </w:pPr>
            <w:r w:rsidRPr="00BE00C7">
              <w:rPr>
                <w:rFonts w:cs="Arial"/>
                <w:b w:val="0"/>
                <w:lang w:eastAsia="en-NZ"/>
              </w:rPr>
              <w:t>Safe mobility is promoted with the use of mobility aids and transferring equipment.  Residents were observed moving freely around the areas with mobility aids where required.  The external areas and gardens are well maintained.  There is outdoor furniture and seating and shaded areas.  There is safe wheelchair access to all communal areas.  There is an outdoor designated smoking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workers and RNs interviewed stated that they have all the equipment referred to in care plans necessary to provide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lounge area is designed so that space and seating arrangements provide for individual and group activities.  Seating is appropriate and designed to meet the consumer group.  There are quiet, low stimulus areas that provide privacy when required.  A safe and secure outside area is easy to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have access to hand basins.  There are adequate numbers of communal toilets and shower rooms. Toilets have privacy locks.  There are large picture signs on the toilet doors.  There is appropriate signage, easy clean flooring and fixtures, and handrails appropriately placed.  Privacy is maintained at all times.  Three rooms are shared rooms and there are curtain screens available between the beds for privacy.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space in the bedrooms and enough space for the safe manoeuvring of mobility equipment.  Residents can personalise their rooms. The three rooms shared by two residents in each are of sufficient size to accommodate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layout of the home provides for freedom of movement within a safe and secure environment.  There are external walking paths and internal space to allow wandering that is not obtrusive on other residents.  There is sufficient space within the open plan dining and lounge area to accommodate individual low stimulus activities and group activities.  Resident dining can be easily observed and supervised.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cleaning and laundry policies and procedures in place.  Housekeeping staff are responsible for cleaning and laundry service.  There are sufficient staff allocated seven days a week to carry out these services.  All laundry and personal clothing is laundered on-site.  There are defined clean/dirty areas.  Cleaner’s trolleys are stored in locked areas when not in use.  The laundry is locked at all times.  There were adequate linen supplies sighted in the facility linen-store cupboards.  Internal audits monitor the effectiveness of laundry and cleaning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approved evacuation plan.  Fire evacuation drills are held six monthly.  Civil defence equipment and resources are available and this was discussed with the maintenance person responsible.  A gas barbecue is also available.  The facility has back up lighting, power and sufficient food, water and personal supplies to provide for its maximum number of residents in the event of a power outage.  There is a staff member across 24/7 with a current practising certificate.</w:t>
            </w:r>
          </w:p>
          <w:p w:rsidR="00EB7645" w:rsidRPr="00BE00C7" w:rsidP="00BE00C7">
            <w:pPr>
              <w:pStyle w:val="OutcomeDescription"/>
              <w:spacing w:before="120" w:after="120"/>
              <w:rPr>
                <w:rFonts w:cs="Arial"/>
                <w:b w:val="0"/>
                <w:lang w:eastAsia="en-NZ"/>
              </w:rPr>
            </w:pPr>
            <w:r w:rsidRPr="00BE00C7">
              <w:rPr>
                <w:rFonts w:cs="Arial"/>
                <w:b w:val="0"/>
                <w:lang w:eastAsia="en-NZ"/>
              </w:rPr>
              <w:t>The emergency plans and security systems meet regulation requirements.  The nurse call system is appropriate for the size of the facility and call bells are accessible in the rooms, lounge and dining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and bedrooms have adequate natural light with large windows. There are a variety of heating methods used to maintain a warm environment within the communal areas and bedrooms including heat pumps, ceiling panels and under floor heating.  The temperature is thermostat controlled and can be individually adjusted in the resident bedrooms.  Families interviewed advised that the bedrooms, lounges and other communal rooms are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infection control coordinator.  The infection control coordinator has a job description.  Infection control committee is all staff and discussion is included in staff meetings (link 1.2.3.6).  The infection control programme has been reviewed annually.  Visitors are asked not to visit if they have been unwell.  There are hand sanitisers throughout the facility and adequate supplies of personal protective equipment.  Residents and staff are offered influenza vaccines.  There was a significant outbreak in August 2015 and the infection control coordinator liaised with the DHB infection control nurse specialist and public health around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is managed by the infection control coordinator.  The infection control coordinator has attended external education.  The infection control committee is all staff.  The infection control coordinator has access to infection control personnel within the district health board, laboratory services and GP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the infection control programme, responsibilities and oversight, training and education of staff.  The policies have been reviewed and updated when they were recently purchased from an external provider, and reflect relevant legislation and accepted good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Infection control education is provided annually and includes wound care, hand hygiene and food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The infection control coordinator collects the infection rates each month.  The infection rate is very low.  The data is analysed to identify trends and determine infection control quality initiatives and education within the facility.  Infection control data is communicated to staff and management through meetings.  Care staff interviewed were knowledgeable about infection control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no residents with enablers or restraint in use.  Policies and procedures include definition of restraint and enabler that are congruent with the definition in NZS 8134.0.  Enablers are voluntary. Staff education on RMSP/enablers has been provided, and on orientation of new staff.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3914"/>
        <w:gridCol w:w="5615"/>
        <w:gridCol w:w="15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able to demonstrate that written consent is obtained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Consent forms were completed for general cares and access to information. The consent forms align with the Code of consumer rights. Three resident rooms are double rooms. The six residents who share a room are provided with personal privacy and each bed area has screening for privacy.  Advised by the manager and registered nurses that residents who share a room are selected carefully and verbally consent to the arrangement. Two of the six residents who share a room have documented consent in place.  Four of the six residents have been assessed for their appropriateness for sharing accommodation. The DHB had not been notified of residents who share a room as per contractual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Consent to share a room was not documented and signed for four of six residents. (ii) Two of six residents had not been assessed as appropriate to share a room. (iii) The DHB had not been informed of those residents sharing a room.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consent is gained from the EPOA for residents who share a bedroom; ii) ensure that all residents who share a room have been assessed as appropriate to do so; and iii) inform the DHB of residents who share a room as per contractual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Incidents and accidents, and infections are routinely analysed on a monthly and annual data collection sheet.  The service has recently commenced benchmarking with other similar aged care facilities.  Staff quality meetings occur two to three monthly but not all data is discussed at each meeting.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Staff/quality meetings occur three monthly but only incidents and infections from the previous month are discussed.  Meeting minutes do not always reflect discussion around outcomes of incident analysis.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service providers are informed of the outcomes of all quality data analysis.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active about completing corrective action forms when potential improvements are identified from incident forms, but not always when issues are identified in internal audits.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not always developed when shortfalls are identified through the internal auditing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corrective action plans are developed whenever service shortfalls are identified.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an incident is identified, an incident form is completed by the care worker, who leaves it for the registered nurse to review.  Each incident form sighted had evidence of having been reviewed by a registered nurse but not all were signed (link 1.2.9.9).  Not all incidents had been identified as incidents by the service.  The care workers contact the person on call if there is a significant event and the registered nurse follows up for routine events on the next working day, although this is not always documented (link 1.3.3.4).  Neurological observations had not been completed for potential head injuries.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significant event did not have a corresponding incident form completed.</w:t>
            </w:r>
          </w:p>
          <w:p w:rsidR="00EB7645" w:rsidRPr="00BE00C7" w:rsidP="00BE00C7">
            <w:pPr>
              <w:pStyle w:val="OutcomeDescription"/>
              <w:spacing w:before="120" w:after="120"/>
              <w:rPr>
                <w:rFonts w:cs="Arial"/>
                <w:b w:val="0"/>
                <w:lang w:eastAsia="en-NZ"/>
              </w:rPr>
            </w:pPr>
            <w:r w:rsidRPr="00BE00C7">
              <w:rPr>
                <w:rFonts w:cs="Arial"/>
                <w:b w:val="0"/>
                <w:lang w:eastAsia="en-NZ"/>
              </w:rPr>
              <w:t>(ii)  Three incident forms sampled where the resident had experienced a knock to the head did not have neurological observations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incident forms are completed for all incidents and accidents.</w:t>
            </w:r>
          </w:p>
          <w:p w:rsidR="00EB7645" w:rsidRPr="00BE00C7" w:rsidP="00BE00C7">
            <w:pPr>
              <w:pStyle w:val="OutcomeDescription"/>
              <w:spacing w:before="120" w:after="120"/>
              <w:rPr>
                <w:rFonts w:cs="Arial"/>
                <w:b w:val="0"/>
                <w:lang w:eastAsia="en-NZ"/>
              </w:rPr>
            </w:pPr>
            <w:r w:rsidRPr="00BE00C7">
              <w:rPr>
                <w:rFonts w:cs="Arial"/>
                <w:b w:val="0"/>
                <w:lang w:eastAsia="en-NZ"/>
              </w:rPr>
              <w:t>(ii)  Ensure neurological observations are completed whenever a resident has a potential head injury.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education at least monthly for staff on a two yearly rotating basis.  Not all required topics have been included.  Staff are required to have relevant dementia qualifications.  Not all staff have the required qualifications; noting that six staff that do not have the required NZQA dementia standards do have a certificate in Care of the Elderly.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has been no staff training provided in the past two years around abuse and neglect (last completed 2014, booked in for the week following audit), Code of Rights, falls management, wound management, pressure injury prevention, health and safety, medication management (booked for November 2016) or chemical safety . </w:t>
            </w:r>
          </w:p>
          <w:p w:rsidR="00EB7645" w:rsidRPr="00BE00C7" w:rsidP="00BE00C7">
            <w:pPr>
              <w:pStyle w:val="OutcomeDescription"/>
              <w:spacing w:before="120" w:after="120"/>
              <w:rPr>
                <w:rFonts w:cs="Arial"/>
                <w:b w:val="0"/>
                <w:lang w:eastAsia="en-NZ"/>
              </w:rPr>
            </w:pPr>
            <w:r w:rsidRPr="00BE00C7">
              <w:rPr>
                <w:rFonts w:cs="Arial"/>
                <w:b w:val="0"/>
                <w:lang w:eastAsia="en-NZ"/>
              </w:rPr>
              <w:t>(ii)  Seven of 21 care workers who have been employed for more than one year have not completed the contractually required NZQA dementia standards.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staff receive education around core/required topics.</w:t>
            </w:r>
          </w:p>
          <w:p w:rsidR="00EB7645" w:rsidRPr="00BE00C7" w:rsidP="00BE00C7">
            <w:pPr>
              <w:pStyle w:val="OutcomeDescription"/>
              <w:spacing w:before="120" w:after="120"/>
              <w:rPr>
                <w:rFonts w:cs="Arial"/>
                <w:b w:val="0"/>
                <w:lang w:eastAsia="en-NZ"/>
              </w:rPr>
            </w:pPr>
            <w:r w:rsidRPr="00BE00C7">
              <w:rPr>
                <w:rFonts w:cs="Arial"/>
                <w:b w:val="0"/>
                <w:lang w:eastAsia="en-NZ"/>
              </w:rPr>
              <w:t>(ii)  Ensure contractual obligations are met in regard to dementia training for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1.2.9.9</w:t>
            </w:r>
          </w:p>
          <w:p w:rsidR="00EB7645" w:rsidRPr="00BE00C7" w:rsidP="00BE00C7">
            <w:pPr>
              <w:pStyle w:val="OutcomeDescription"/>
              <w:spacing w:before="120" w:after="120"/>
              <w:rPr>
                <w:rFonts w:cs="Arial"/>
                <w:b w:val="0"/>
                <w:lang w:eastAsia="en-NZ"/>
              </w:rPr>
            </w:pPr>
            <w:r w:rsidRPr="00BE00C7">
              <w:rPr>
                <w:rFonts w:cs="Arial"/>
                <w:b w:val="0"/>
                <w:lang w:eastAsia="en-NZ"/>
              </w:rPr>
              <w:t>All records are legible and the name and designation of the service provider is identifiable.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progress note entries contained the time and were signed, including the designation.  Not all other documents were signed and dated.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of ten incident forms had not been signed by a registered nurse.  Two of six resident room sharing assessments have not been signed.  Two initial assessment and care plans were not dated and signed (both were admitted in August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documents are signed and dated by the writer.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reviewed.  Medications requiring controls were noted to be stored securely.  Two staff signatures were recorded on administration signing sheets for medications that required this.  Controlled drug medication management did not meet current guidelines.  Standing orders were signed by the GP but were not appropriate for rest home (dementia) level care.  Expired medications were noted in the medication fridge.  The medication fridge temperatures have been monitored and recorded.  Medication documentation including photographs were not attached to medication charts.  Seven of twelve resident medication charts had allergies or nil known allergies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Controlled drug medication management did not comply with current guidelines as per the following: a) Controlled drug medications (four types) retained in the locked controlled drug safe were for residents who no longer reside at Thornbury House these were returned to the pharmacy; b) two entries in the controlled drug register evidenced only one staff member signature; c) controlled drug medication belonging to a resident who no longer resides at the facility, was given to another resident. This was charted, it was a one off, and was for acute pain.  The GP had charted the medication order, but the supply came from stock in the CD cupboard ; d) weekly checks of the controlled medication stocks have not been conducted; a pharmacist had conducted a stocktake of controlled drugs in August 2016 and the pharmacist checks all new stock of controlled drugs in to the safe with the RN. There was no regular use of controlled drugs. The service had one resident with a controlled drug order for Sevredol for PRN use.   </w:t>
            </w:r>
          </w:p>
          <w:p w:rsidR="00EB7645" w:rsidRPr="00BE00C7" w:rsidP="00BE00C7">
            <w:pPr>
              <w:pStyle w:val="OutcomeDescription"/>
              <w:spacing w:before="120" w:after="120"/>
              <w:rPr>
                <w:rFonts w:cs="Arial"/>
                <w:b w:val="0"/>
                <w:lang w:eastAsia="en-NZ"/>
              </w:rPr>
            </w:pPr>
            <w:r w:rsidRPr="00BE00C7">
              <w:rPr>
                <w:rFonts w:cs="Arial"/>
                <w:b w:val="0"/>
                <w:lang w:eastAsia="en-NZ"/>
              </w:rPr>
              <w:t>(ii) Standing orders have been signed by the GP and a copy is located with each resident’s individual medication chart.  The standing orders include medications that have not been individually prescribed for each resident.  Stock medications are not held.</w:t>
            </w:r>
          </w:p>
          <w:p w:rsidR="00EB7645" w:rsidRPr="00BE00C7" w:rsidP="00BE00C7">
            <w:pPr>
              <w:pStyle w:val="OutcomeDescription"/>
              <w:spacing w:before="120" w:after="120"/>
              <w:rPr>
                <w:rFonts w:cs="Arial"/>
                <w:b w:val="0"/>
                <w:lang w:eastAsia="en-NZ"/>
              </w:rPr>
            </w:pPr>
            <w:r w:rsidRPr="00BE00C7">
              <w:rPr>
                <w:rFonts w:cs="Arial"/>
                <w:b w:val="0"/>
                <w:lang w:eastAsia="en-NZ"/>
              </w:rPr>
              <w:t>(iii)  One medication located in the fridge had expired.</w:t>
            </w:r>
          </w:p>
          <w:p w:rsidR="00EB7645" w:rsidRPr="00BE00C7" w:rsidP="00BE00C7">
            <w:pPr>
              <w:pStyle w:val="OutcomeDescription"/>
              <w:spacing w:before="120" w:after="120"/>
              <w:rPr>
                <w:rFonts w:cs="Arial"/>
                <w:b w:val="0"/>
                <w:lang w:eastAsia="en-NZ"/>
              </w:rPr>
            </w:pPr>
            <w:r w:rsidRPr="00BE00C7">
              <w:rPr>
                <w:rFonts w:cs="Arial"/>
                <w:b w:val="0"/>
                <w:lang w:eastAsia="en-NZ"/>
              </w:rPr>
              <w:t>(iv) Verbal orders for two residents had not been signed by the GP within two working days.</w:t>
            </w:r>
          </w:p>
          <w:p w:rsidR="00EB7645" w:rsidRPr="00BE00C7" w:rsidP="00BE00C7">
            <w:pPr>
              <w:pStyle w:val="OutcomeDescription"/>
              <w:spacing w:before="120" w:after="120"/>
              <w:rPr>
                <w:rFonts w:cs="Arial"/>
                <w:b w:val="0"/>
                <w:lang w:eastAsia="en-NZ"/>
              </w:rPr>
            </w:pPr>
            <w:r w:rsidRPr="00BE00C7">
              <w:rPr>
                <w:rFonts w:cs="Arial"/>
                <w:b w:val="0"/>
                <w:lang w:eastAsia="en-NZ"/>
              </w:rPr>
              <w:t>(v)  Allergies or nil known allergies were not documented on five of twelve medication charts reviewed.</w:t>
            </w:r>
          </w:p>
          <w:p w:rsidR="00EB7645" w:rsidRPr="00BE00C7" w:rsidP="00BE00C7">
            <w:pPr>
              <w:pStyle w:val="OutcomeDescription"/>
              <w:spacing w:before="120" w:after="120"/>
              <w:rPr>
                <w:rFonts w:cs="Arial"/>
                <w:b w:val="0"/>
                <w:lang w:eastAsia="en-NZ"/>
              </w:rPr>
            </w:pPr>
            <w:r w:rsidRPr="00BE00C7">
              <w:rPr>
                <w:rFonts w:cs="Arial"/>
                <w:b w:val="0"/>
                <w:lang w:eastAsia="en-NZ"/>
              </w:rPr>
              <w:t>(vi)  A photograph for each resident is located at the front of the medication folder. The individual resident photograph was not attached to the medication chart for safe identification.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controlled drugs are managed and administered in line with guidelines and best practice, and returned to pharmacy when no longer required. </w:t>
            </w:r>
          </w:p>
          <w:p w:rsidR="00EB7645" w:rsidRPr="00BE00C7" w:rsidP="00BE00C7">
            <w:pPr>
              <w:pStyle w:val="OutcomeDescription"/>
              <w:spacing w:before="120" w:after="120"/>
              <w:rPr>
                <w:rFonts w:cs="Arial"/>
                <w:b w:val="0"/>
                <w:lang w:eastAsia="en-NZ"/>
              </w:rPr>
            </w:pPr>
            <w:r w:rsidRPr="00BE00C7">
              <w:rPr>
                <w:rFonts w:cs="Arial"/>
                <w:b w:val="0"/>
                <w:lang w:eastAsia="en-NZ"/>
              </w:rPr>
              <w:t>(ii)  Ensure that standing orders use complies with current guidelines.</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medications that have expired are disposed of or returned to pharmacy.</w:t>
            </w:r>
          </w:p>
          <w:p w:rsidR="00EB7645" w:rsidRPr="00BE00C7" w:rsidP="00BE00C7">
            <w:pPr>
              <w:pStyle w:val="OutcomeDescription"/>
              <w:spacing w:before="120" w:after="120"/>
              <w:rPr>
                <w:rFonts w:cs="Arial"/>
                <w:b w:val="0"/>
                <w:lang w:eastAsia="en-NZ"/>
              </w:rPr>
            </w:pPr>
            <w:r w:rsidRPr="00BE00C7">
              <w:rPr>
                <w:rFonts w:cs="Arial"/>
                <w:b w:val="0"/>
                <w:lang w:eastAsia="en-NZ"/>
              </w:rPr>
              <w:t>(iv) Ensure that verbal orders are signed by the GP within two working days.</w:t>
            </w:r>
          </w:p>
          <w:p w:rsidR="00EB7645" w:rsidRPr="00BE00C7" w:rsidP="00BE00C7">
            <w:pPr>
              <w:pStyle w:val="OutcomeDescription"/>
              <w:spacing w:before="120" w:after="120"/>
              <w:rPr>
                <w:rFonts w:cs="Arial"/>
                <w:b w:val="0"/>
                <w:lang w:eastAsia="en-NZ"/>
              </w:rPr>
            </w:pPr>
            <w:r w:rsidRPr="00BE00C7">
              <w:rPr>
                <w:rFonts w:cs="Arial"/>
                <w:b w:val="0"/>
                <w:lang w:eastAsia="en-NZ"/>
              </w:rPr>
              <w:t>(v)  Record allergies or nil known allergies on individual medication charts.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 Ensure that a current resident photograph is attached to each individual resident medication chart.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management education has not been provided in the past two years (link 1.2.7.5).  The registered nurses and care workers administer medications to the residents. The registered nurse was observed administering medications correctly. Three of the eight staff who administer medications have a current medication competency.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eight staff who administer medications do not have a current medication competency assessment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who have the responsibility of administering medications, complete an annual medication competency assessment.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six residents in the sample have been assessed with the InterRAI assessment tool within the required timeframes.  Long-term care plans have been developed within 21 days for five of six resident files reviewed.  Long-term care plan evaluations have been conducted six monthly or more frequently as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had the InterRAI assessment completed seven weeks after admission and the long-term care plan was developed prior to completion of the InterRAI assessment.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InterRAI assessment and long-term care plans are developed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notes entries are made by care workers at least daily.  Entries in progress notes by registered nurses was less evident and were not added when there had been significant events for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insufficient entries evident in progress notes by registered nurses following medical events, falls, and incidents.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registered nurses review progress notes and evidence that all significant events are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six resident files sampled evidenced that the InterRAI assessment tool and risk assessments had been used to form the basis of the long-term care plan. Six monthly InterRAI reassessments have occurred for three of six residents. Three residents had been admitted within the previous six months. One resident had not been assessed with the InterRAI assessment tool.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resident, who had previously been a respite resident, had not had an initial assessment completed when on respite and the initial assessment for permanent placement had not been dated or signed; and ii) one resident had not been assessed with the InterRAI assessment tool and no pain assessment had been completed. The resident had been admitted six weeks prior.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residents (respite or permanent) have an initial assessment completed; and (ii) ensure that all residents are assessed with the InterRAI assessment within 21 days of admission and that it informs the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six care plans reviewed evidenced that each aspect of the care plan had a goal and interventions recorded, that provided staff with sufficient information to direct care staff in providing care.  Three of six residents had an initial care plan fully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Long-term care plans for three residents did not include goals and interventions for all identified needs.  Interventions reviewed lacked sufficient detail to guide staff around continence management, behaviours, skin care, medication management, and pain management. </w:t>
            </w:r>
          </w:p>
          <w:p w:rsidR="00EB7645" w:rsidRPr="00BE00C7" w:rsidP="00BE00C7">
            <w:pPr>
              <w:pStyle w:val="OutcomeDescription"/>
              <w:spacing w:before="120" w:after="120"/>
              <w:rPr>
                <w:rFonts w:cs="Arial"/>
                <w:b w:val="0"/>
                <w:lang w:eastAsia="en-NZ"/>
              </w:rPr>
            </w:pPr>
            <w:r w:rsidRPr="00BE00C7">
              <w:rPr>
                <w:rFonts w:cs="Arial"/>
                <w:b w:val="0"/>
                <w:lang w:eastAsia="en-NZ"/>
              </w:rPr>
              <w:t>(ii) Three resident files reviewed did not include a fully completed initial care plan (initial care plans included a problem and objective only).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each resident had a detailed care plan in place which describes all cares and interventions required to guide staff in the provision of care. </w:t>
            </w:r>
          </w:p>
          <w:p w:rsidR="00EB7645" w:rsidRPr="00BE00C7" w:rsidP="00BE00C7">
            <w:pPr>
              <w:pStyle w:val="OutcomeDescription"/>
              <w:spacing w:before="120" w:after="120"/>
              <w:rPr>
                <w:rFonts w:cs="Arial"/>
                <w:b w:val="0"/>
                <w:lang w:eastAsia="en-NZ"/>
              </w:rPr>
            </w:pPr>
            <w:r w:rsidRPr="00BE00C7">
              <w:rPr>
                <w:rFonts w:cs="Arial"/>
                <w:b w:val="0"/>
                <w:lang w:eastAsia="en-NZ"/>
              </w:rPr>
              <w:t>(ii) Ensure that the initial care plan provides comprehensive information for care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warrant of fitness has expired.  Advised by the manager, that the service is working with the local council to have this signed off.  Extra maintenance has been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does not have a current building warrant of fitness.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there is a current building warrant of fitness.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Elsdon Enterprises Limited - Thornbury House</w:t>
    </w:r>
    <w:bookmarkEnd w:id="58"/>
    <w:r>
      <w:rPr>
        <w:rFonts w:cs="Arial"/>
        <w:sz w:val="16"/>
        <w:szCs w:val="20"/>
      </w:rPr>
      <w:tab/>
      <w:t xml:space="preserve">Date of Audit: </w:t>
    </w:r>
    <w:bookmarkStart w:id="59" w:name="AuditStartDate1"/>
    <w:r>
      <w:rPr>
        <w:rFonts w:cs="Arial"/>
        <w:sz w:val="16"/>
        <w:szCs w:val="20"/>
      </w:rPr>
      <w:t>13 September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