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Lansdowne Park Village Limited - Lansdowne Park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Lansdowne Park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Lansdowne Park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August 2016</w:t>
      </w:r>
      <w:bookmarkEnd w:id="7"/>
      <w:r w:rsidRPr="009418D4">
        <w:rPr>
          <w:rFonts w:cs="Arial"/>
        </w:rPr>
        <w:tab/>
        <w:t xml:space="preserve">End date: </w:t>
      </w:r>
      <w:bookmarkStart w:id="8" w:name="AuditEndDate"/>
      <w:r w:rsidR="00A4268A">
        <w:rPr>
          <w:rFonts w:cs="Arial"/>
        </w:rPr>
        <w:t>9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Lansdowne Park village is part of the Arvida aged care residential group. The rest home provides rest home and hospital level of care for up to 50 residents in the care centre and up to 29 residents at rest home level in the serviced apartments.  On the day of the audit, there were 61 residents.</w:t>
      </w:r>
    </w:p>
    <w:p w:rsidRPr="00A4268A">
      <w:pPr>
        <w:spacing w:before="240" w:line="276" w:lineRule="auto"/>
        <w:rPr>
          <w:rFonts w:eastAsia="Calibri"/>
        </w:rPr>
      </w:pPr>
      <w:r w:rsidRPr="00A4268A">
        <w:rPr>
          <w:rFonts w:eastAsia="Calibri"/>
        </w:rPr>
        <w:t>The residents and relatives spoke positively about the care and services supports provided at Lansdowne rest home and hospital.</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 xml:space="preserve">Areas for improvement identified at this audit related to corrective actions and documented quality data, education, documented risks of restraint use, care plans, interventions and medication reviews.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Lansdowne Park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Quality meetings are held to discuss quality and risk management processes.  Residents/family meetings are held every three months and residents and families are surveyed annually.  Health and safety policies, systems and processes are implemented to manage risk.  Incidents and accidents are reported and followed through.  Falls prevention strategies are in place that includes the analysis of falls incidents.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admission package available prior to or on entry to the service.  The registered nurses are responsible for each stage of service provision.  A registered nurse assesses and reviews residents' needs, outcomes and goals.</w:t>
      </w:r>
    </w:p>
    <w:p w:rsidRPr="00A4268A" w:rsidP="00621629">
      <w:pPr>
        <w:spacing w:before="240" w:line="276" w:lineRule="auto"/>
        <w:rPr>
          <w:rFonts w:eastAsia="Calibri"/>
        </w:rPr>
      </w:pPr>
      <w:r w:rsidRPr="00A4268A">
        <w:rPr>
          <w:rFonts w:eastAsia="Calibri"/>
        </w:rPr>
        <w:t xml:space="preserve">Care plans viewed in resident records demonstrated service integration and were evaluated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Administration signing sheets corresponded with the prescribed medications.  </w:t>
      </w:r>
    </w:p>
    <w:p w:rsidRPr="00A4268A" w:rsidP="00621629">
      <w:pPr>
        <w:spacing w:before="240" w:line="276" w:lineRule="auto"/>
        <w:rPr>
          <w:rFonts w:eastAsia="Calibri"/>
        </w:rPr>
      </w:pPr>
      <w:r w:rsidRPr="00A4268A">
        <w:rPr>
          <w:rFonts w:eastAsia="Calibri"/>
        </w:rPr>
        <w:t xml:space="preserve">A diversional therapist oversees the activity programme for the residents.  The programme includes community visitors and outings, entertainment and activities that meet the individual recreational, physical, cultural and cognitive abilities and preferences for rest home and hospital residents.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and baking is cooked on site.  Special diets and dislikes are accommodated.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rooms are personalised with ensuites.  Documented policies and procedures for the cleaning and laundry services are implemented with appropriate monitoring systems in place to evaluate the effectiveness of these services.  Documented systems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Lansdowne Park Village has restraint minimisation and safe practice policies and procedures in place.  Staff receive training around restraint minimisation and the management of challenging behaviour.  During the audit, four residents were using six restraints and two residents were using an enabler.  A registered nurse is the designated restraint coordinator.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coordinating education and training for staff.  The infection control coordinator has attended external training.  There is a suite of infection control policies and guidelines to support practice.  The infection control coordinators use the information obtained through surveillance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85"/>
        <w:gridCol w:w="1280"/>
        <w:gridCol w:w="89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(eight caregivers, three registered nurses, one diversional therapist) confirm their familiarity with the Code.  Interviews with nine residents (five rest home and four hospital) and three families (two rest home and one hospital) confirm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as sighted in eight of eight resident files reviewed (four rest home including one resident in a serviced apartment and four hospital including one resident under the health recovery contract).   Advance directives if known, were on the resident files.  Resuscitation plans for residents were signed appropriately.  Copies of EPOA were present on resident files and activated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 staff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confirmed they have been made aware of and fully understand informed consent processes and that appropriate information had been provided.  All files evidenced signed general consents.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is a complaints form available.  Information about complaints is provided on admission.  Interview with residents demonstrated an understanding of the complaints process.  There is a complaints register.  Verbal and written complaints are documented.  Six complaints have been made in 2016 (year to date) and 12 complaints made in 2015.  All complaints reviewed had noted investigation, timeframes and corrective actions when and where required, and resolutions were in place.  Results are fed back to complainants.  All staff interviewed were able to describe the process around reporting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All residents interviewed stated their needs were met and they have choice.  Church services are conducted monthly.  All residents interviewed indicated that resident’s spiritual needs are being met when required.  The caregivers can describe the process of identifying and reporting any abuse or neglect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were no residents identified as Māori on the days of the audit.   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Residents/families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Incident/accidents forms reviewed had documented evidence of family notification or noted if family did not wish to be informed.  Relatives interviewed confirmed that they are notified of any changes in their family member’s health status.  A residents/relatives meeting occurs every three months and issues arising from the meeting are communicated to staff.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Lansdowne Park Village is owned and operated by the Arvida Group.  The service provides care for up to 79 residents with 50 dual-purpose beds and up to 29 serviced apartments certified to provide rest home level care.   On the day of the audit, there were 61 residents.  There were 28 residents at rest home level and 18 residents at hospital level care (including two residents under the health recovery contract and one resident receiving palliative care).  There were 15 rest home residents in the 29 serviced apartments.  All other residents were admitted under the aged related care agreement (ARC).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village manager has been in the role since December 2013 and has 20 years’ experience in health management.  A full time clinical manager supports the village manager.  The clinical manager has been in the position for one month and has over 20 years aged care experience as an RN and facility manager.  The village manager reports to the general manager operations on a variety of operational issues and provides a monthly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Group has an overall business/strategic plan and Lansdowne Park Village has a facility quality improvement and risk management action plan in place for the current year, 1 April 2016–31 March 2017.  The organisation has a philosophy of care, which includes a mission statement.  Lansdowne Park Village is currently transitioning to the Arvida Group quality management systems and Arvida policies and procedures (October 2016).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also provided by the General Manager Operations, the General Manager Wellness and Care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for Lansdowne Park Village.  The village manager advised that she is responsible for providing oversight of the quality programme on site, which is also monitored at organisational level.  The quality and risk management programme is designed to monitor contractual and standards compliance.  The site-specific service's policies are being transitioned over to the Arvida Group policies (October 2016), which will be reviewed at least every 2 years across the group.  Head office sends new/updated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collates accident/incident and infection control data.  Monthly staff meeting minutes sighted did not evidence follow-up actions or staff discussion around quality data and accident/incident trend analysis.  The service has a health and safety management system that is regularly reviewed.  Restraint and enabler use (when used) is reported within the quality meeting.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continues to be implemented and all issues identified had corrective action plans and resolutions.  Residents/relatives are surveyed to gather feedback on the service provided and the outcomes are communicated to residents, staff and families.  The 2015 resident relative survey overall result shows satisfaction with services provided.  Resident/family meetings occur every three months and resident and families interviews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Incidents are reported to meetings however, there is no documented evidence that analysis and resulting corrective actions are reported to meetings (link 1.2.3.6).  A registered nurse conducts clinical follow-up of residents.  Twelve incident forms reviewed demonstrated that appropriate clinical follow-up and investigation occurred following incidents.  Discussions with the village manager and clinical manager confirmed that there is an awareness of the requirement to notify relevant authorities in relation to essential notifications.  There have been two section 31 incident notification forms (sighted) completed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Nine staff files were reviewed (one village manager, one clinical manager, two registered nurses, two caregivers, one diversional therapist, one senior cook and one laundry/cleaning person) and there is evidence that reference checks were completed before employment was offered.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in place that provides new staff with relevant information for safe work practice.  Completed orientation is on files and staff described the orientation programme.  The orientation programme covers different roles.</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documentation for 2015 was not available for review on the day of audit.  The in-service education plan for 2016 is being implemented.  Four of the seven registered nurses have completed InterRAI training.  There was education and training for clinical staff, which was provided by the local DHB.  The clinical manager and the RNs attended external training around pressure injury prevention.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Lansdowne Park Village policy includes staff rationale and skill mix.  Sufficient staff are rostered on to manage the care requirements of the residents.  The service has 75 staff in various roles.  Staffing rosters were sighted and there is staff on duty to match needs of different shifts.  In addition to the village manager and clinical manager who both work full time, there is at least one registered nurse and two caregivers on at any one time.  The registered nurse on each shift is aware that extra staff can be called on for increased resident requirements.  Interviews with staff, residents and family members confirm there are sufficient staff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rest home caregivers in the morning (two for the serviced apartments), three rest home caregivers in the afternoon (one for the serviced apartments) and one rest home/serviced apartments caregiver covering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Entries in records are legible, dated and signed by the relevant caregiver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are provided for families and residents prior to admission.  Families interviewed confirmed they had received sufficient information on admission and had the opportunity to discuss the admission agreement with management. All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Staff who administer medications (RNs and caregivers) have been assessed for medication and insulin administration competency.  Registered nurses have completed syringe driver training.   The pharmacist has provided education on medicine management.  The RN checks all medications on delivery against the medication chart and any discrepancies are fed back to the supplying pharmacy.  Standing orders are not used.  There was a self-medication assessment and monitoring in place for one rest home resident self-medicating.  All medications are stored correctly and eye drops dated on opening.  The medication fridge is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at two rounds, one in the hospital and one in the rest home.  Standing orders are not used.  No residents are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All 16 medication charts sampled met legislative prescribing requirements for regular medications, however not all ‘as required’ medications had an indication for use.  The GP had not reviewed four of the medication charts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at Lansdowne are prepared and cooked on site by two qualified cooks who are supported by morning and afternoon kitchenhands.  There is a five weekly menu, which had been reviewed by a dietitian.  Meals are served from a bain-marie to residents who dine in the main dining room.  Meals are plated and delivered by trolley to the kitchenettes in each wing.  Dietary needs are known with individual likes and dislikes accommodated.  Dietary requirements and food preferences are met.  Special diets include dairy free, pureed/soft, high protein diets and thickened fluids.  Staff were observed assisting residents with their meals and drinks in the hospital dining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Temperatures for all facility fridges in kitchenettes are taken and recorded.  End cooked food temperatures are recorded.  All foods were dated. The dishwasher is checked regularly by the chemical supplier.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were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relevant risk assessment tools.  An InterRAI assessment is undertaken within 21 days of admission and six monthly, or earlier due to health changes.  Resident needs and supports are identified through the ongoing assessment process in consultation with significant others.  InterRAI assessments, assessment notes and summary were in place for the seven long-term resident files reviewed.  The long-term care plans in place reflected the outcome of the assessments however the supports/needs had not been documented in all files reviewed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The level of risk as identified in risk assessments was documented in the long-term care plan; however there were shortfalls around documented supports to meet the resident’s assessed needs.  Residents and relatives interviewed stated they were kept informed of the relative’s health and outcomes of GP visit; however, there was no documented evidence of relative/resident involvement in the development of care plans.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document appropriate interventions to manage short-term changes in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demonstrate service integration. There was evidence of allied health care professionals involved in the care of the resident including physiotherapist, podiatrist, dietitian and wound nurse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There is evidence that family members were notified of any changes to their relative’s health.  Discussions with families and notifications are documented on the next of kin contact sheet in the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Wound assessments, treatment and evaluations were in place for seven wounds including two chronic wounds.  There was one facility acquired stage-two pressure injury.  There was evidence of GP and wound nurse involvement in review and management of chronic wounds and the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available but not always implemented when identified as required in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who develops and implements the integrated activity programme with the support of an activity assistant.  The activity programme is from Monday to Friday.  Activities provided meet the recreational preferences of rest home and hospital residents.   Activities occur in the lounges of each wing or in the large activities room.  One-on-one time is spent with residents who are unable to or choose not to join in with group activities.  There is a choice of activities to attend when both of the activity team are on duty. The activity programme is varied (but not limited to) walks, exercises, news reading, word games, baking, cards, Tai Chi, entertainers, weekly mystery drives and outings into the community.  A volunteer assists with the activity programme.  There are regular church services and residents are supported to attend their own church.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assessment and activity plan was in place for long-term residents.  The activity plan is reviewed at the same time as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directly and through surveys and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evaluated all initial care plans (reviewed) within three weeks of admission.  Long-term care plans have been reviewed at least six monthly or earlier for any health changes and evaluated against the resident goals.  The GP reviews the residents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are readily accessible for staff.  Chemical bottles sighted have correct manufacturer labels.  Chemicals are stored safely throughout the facility. Personal protective clothing is available for staff and seen to be worn by staff when carrying out their duties on the day of audit.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20 November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maintenance person.  The maintenance officer ensures daily maintenance requests are addressed and a planned maintenance schedule is maintained that includes resident equipment, communal equipment, internal and external building maintenance.   Essential contractors are available 24 hours.  The maintenance officer has been certified to conduct electrical testing which is completed two yearly.   An external contractor completes annual calibration and functional checks of medical equipment.  Hot water temperatures in resident areas are monitored and maintained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to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have ensuites.  Communal toilets are located closely to communal areas.  A large shower room can accommodate a shower trolley. Toilet and shower facilities are of an appropriate design to meet the needs of the residents.  Communal toilet/shower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and personalised.  There is adequate room to safely manoeuvre mobility aids and transferring equipment such as hoists in the resident bedrooms.  Residents and families are encouraged to personalise their rooms.  This was evident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communal lounge and smaller lounges in each wing for quieter activities and visitors.  There is a large main dining area and smaller dining area within the wings.  There is a large activity room.  Seating and space in the main lounge is arranged to allow both individual and group activities to occur.  All communal areas are easily accessible for residents to assist using mobility aids or with staff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staff seven days a week.  There are defined clean/dirty areas in the laundry with an entry and exit door.  Residents and family interviewed reported satisfaction with the cleaning and laundry service.  Internal and external audits monitor the effectiveness of the cleaning and laundry processes.  The cleaning trolleys are well equipped and stored safely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with the last fire drill occurring on 20 May 2016.  A contracted service provides checking of all facility equipment including fire equipment.  Fire training and security situations are part of orientation of new staff and include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Emergency equipment is available at the facility. There are adequate supplies in the event of a civil defence emergency including food, water, blankets and gas cooking.  Short-term backup power for emergency lighting is in place.  A minimum of one person trained in first aid and cardiopulmonary resuscitation (CPR) is available at all times.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safe ventilation, and an environment that is maintained at a safe and comfortable temperature.  The underfloor heating throughout the facility is centrally controlled.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confirmed the internal temperatures and ventilation are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(RN) has been in the role three years and oversees infection control for the facility.  The infection control coordinator has a job description.  Infection events are collated monthly and reported to the quality and infection control committee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infection control programme has been reviewed February 2016 and is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infection control coordinator has attended infection control in-service at least annually, last at the DHB August 2015.  The infection control committee is representative of all services and meet regularly to review infection control goals, complete infection control audits and review infection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nurse practitioner, local laboratory, DHB infection control nurse and wound nurse specialist, and public health departments at the local DHB for advice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infection control specialist and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Hand hygiene competencies are completed on orientation and are ongoing.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reports and short-term care plans are completed for all infections.  Infection control data and relevant information is displayed for staff.  Definitions of infections are in place appropriate to the complexity of service provided.  Infection control data is discussed at the quality, staff and infection control committee meetings.  Annual infection control reports are provided.  Monthly and annual trends are identified and preventative measures put in place.  Systems in place are appropriate to the size and complexity of the facility.  Organisational benchmarking is completed and fed back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four residents with six restraints (three bedrails and three lap belts) and two residents using an enabler (one bedrail and one lap belt) during the audit.  Policies and procedures include definition of restraint and enabler that are congruent with the definition in NZS 8134.0.  Staff education on restraint minimisation and management of challenging behaviour has been provided.  Restraint is being discussed as part of 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assessments for residents who require restraint or enabler interventions.  These were undertaken by suitably qualified and skilled staff, in partnership with the family/whānau, in the three restraint and two enabler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Approved restraints are documented.  Assessments identify the specific interventions or strategies trialled before implementing restraint.  Restraint authorisation is in consultation/partnership with the resident and family and the restraint coordinator.  The use of restraint is linked to the residents’ care plans.  Each episode of restraint is monitored at pre-determined intervals depending on individual risk to that resident. Interventions to manage the risks were not always documented in the care plan.  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An assessment form/process is completed for all restraints and enablers. The files reviewed had a completed assessment form and a care plan that did not always reflect identified risk (link 2.2.3.4).  The service has a restraint and enablers register that is updated each month.  In the files reviewed, evaluations had been completed with the resident, family/whānau and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Evaluation timeframes are determined by policy and risk levels.  In the files reviewed, evaluations had been completed with the resident, family/whānau and restraint coordinator.  Restraint practices are reviewed on a formal basis every month by the restraint coordinator at the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12"/>
        <w:gridCol w:w="1280"/>
        <w:gridCol w:w="3535"/>
        <w:gridCol w:w="2496"/>
        <w:gridCol w:w="18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Areas of non-compliance identified through quality activities are actioned for improvement.  The service collates accident/incident and infection control data.  Incident/accident data is available to all staff on the staff notice board monthly. However, monthly staff meeting minutes sighted did not evidence follow-up from the previous meetings or staff discussion around quality data and accident/incident trend analysis.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quality data and incident/accident trends analysis being discussed at staff meetings.  Meeting minutes reviewed showed that follow-up corrective actions have not always been documented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quality data and incident/accident trends analysis is discussed at staff meetings.  Ensure that any corrective actions follow-up from meetings are documented as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documentation for 2015 was unable to be reviewed. Advised, that all of the hard copy documentation of the 2015 education plan was lost, when the previous manager left the organisation. The village manager could not locate it on the days of the audit. Significant work has been completed since January 2016 to ensure a comprehensive education programme &amp; recording is in place to meet two yearly requirements.  The in-service education plan for 2016 is being implemented.  The CM and another RN are in the process of completing InterRAI.  Staff complete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evidence/records to reflect that two yearly education/training for the following mandatory education topics; abuse and neglect, complaints, open disclosure, nutrition/hydration, pain management, end of life, sexuality/intimacy, wound care and pressure injury prevention has been completed. Noting these are scheduled for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education/training is provided on the mandatory education/training topics and records are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generated by the pharmacy are legible, dated and signed by the GP.  ‘As required’ medication had indications for use on 11 medication charts. The GP had reviewed 12 of 16 medication charts at least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There were no indications for use for ‘as required’ medication (codeine, morphine, tramadol, ibrufen, and loperamide) prescribed on five of 16 medication charts.  (2) Four of 16 medication charts had not been documented as reviewed by the GP at least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all ‘as required’ medication have a prescribed indication for use. (2) Ensure medication charts are reviewed by the GP at least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long-term care plans and one health recovery plan were reviewed.   Not all care plans documented all interventions to meet the resident’s current health status or provided evidence of resident/relative involvement in the development of the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Three resident care plans (two hospital and one rest home) did not document appropriate pressure injury interventions to meet the assessed level of risk. (2) Three resident care plans (one hospital and two rest home) did not document appropriate falls prevention strategies to meet the assessed level of risk.  (3) There was no diabetic management plan in place for one insulin dependent rest home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 interventions clearly include all supports to meet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1.3.5.3</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demonstrate service integration.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stated they were kept informed of the relative’s health and outcomes of GP visit.  However, there was no documented evidence of relative/resident involvement in the development of care plans or provided evidence of resident/relative involvement in the development of the care plans.  Discussions with families and notifications are documented on the next of kin contact sheet in the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resident/relative involvement in the development of care plans for two hospital and four rest home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documented evidence of resident/relative involvement in the development of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weight, vital signs, neurological observations, blood glucose, pain, behaviours, restraint, safety checks and challenging behaviour.  Interventions had not been implemented for unwitnessed falls, identified pain, weight loss and changes in elimination.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interventions implemented for the following; a) two hospital residents with weight loss, b) one rest home resident with identified pain and elimination problems and c) there were no neurological observations for eight unwitnessed falls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monitoring charts are completed when identified, as required in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The use of restraint is linked to the residents’ care plans.  Interventions to manage all identified risks were not always documented in the long-term care plans for residents on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to manage the risks are not documented in the long-term care plans for three of three residents (on restraint)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interventions to manage assessed risks are documented in the long-term care plans for residents on restraint.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Lansdowne Park Village Limited - Lansdowne Park Village</w:t>
    </w:r>
    <w:bookmarkEnd w:id="58"/>
    <w:r>
      <w:rPr>
        <w:rFonts w:cs="Arial"/>
        <w:sz w:val="16"/>
        <w:szCs w:val="20"/>
      </w:rPr>
      <w:tab/>
      <w:t xml:space="preserve">Date of Audit: </w:t>
    </w:r>
    <w:bookmarkStart w:id="59" w:name="AuditStartDate1"/>
    <w:r>
      <w:rPr>
        <w:rFonts w:cs="Arial"/>
        <w:sz w:val="16"/>
        <w:szCs w:val="20"/>
      </w:rPr>
      <w:t>8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