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Liston Heights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Liston Heights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August 2016</w:t>
      </w:r>
      <w:bookmarkEnd w:id="7"/>
      <w:r w:rsidRPr="009418D4">
        <w:rPr>
          <w:rFonts w:cs="Arial"/>
        </w:rPr>
        <w:tab/>
        <w:t xml:space="preserve">End date: </w:t>
      </w:r>
      <w:bookmarkStart w:id="8" w:name="AuditEndDate"/>
      <w:r w:rsidR="00A4268A">
        <w:rPr>
          <w:rFonts w:cs="Arial"/>
        </w:rPr>
        <w:t>12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Liston Heights rest home and hospital is part of the Bupa aged care residential group. The service provides rest home, hospital and dementia level of care for up to 75 residents.  On the day of the audit, there were 73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The care home manager is a registered nurse and has been in the role for one year.  She is supported by a clinical manager with aged care experience and has been in the role for 10 months.  The clinical team is supported by a regional operations manager.</w:t>
      </w:r>
    </w:p>
    <w:p w:rsidRPr="00A4268A">
      <w:pPr>
        <w:spacing w:before="240" w:line="276" w:lineRule="auto"/>
        <w:rPr>
          <w:rFonts w:eastAsia="Calibri"/>
        </w:rPr>
      </w:pPr>
      <w:r w:rsidRPr="00A4268A">
        <w:rPr>
          <w:rFonts w:eastAsia="Calibri"/>
        </w:rPr>
        <w:t>The residents and relatives spoke positively about the staff and the care provided at Liston Heights.</w:t>
      </w:r>
    </w:p>
    <w:p w:rsidRPr="00A4268A">
      <w:pPr>
        <w:spacing w:before="240" w:line="276" w:lineRule="auto"/>
        <w:rPr>
          <w:rFonts w:eastAsia="Calibri"/>
        </w:rPr>
      </w:pPr>
      <w:r w:rsidRPr="00A4268A">
        <w:rPr>
          <w:rFonts w:eastAsia="Calibri"/>
        </w:rPr>
        <w:t xml:space="preserve">There are improvements required around EPOAs, care plan interventions and review of medication charts.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at Bupa Liston Heights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Bupa Liston Heights is implementing the organisational quality and risk management system that supports the provision of clinical care. Quality activities are conducted and this generates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completes the assessments and care plans with the resident and/or family/whānau input.  Care plans viewed in resident files were individualised and demonstrated service integration.  Care plans were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caregivers responsible for administration of medicines complete education and medication competencies.  The medicine charts reviewed met legislative prescribing requirements.     </w:t>
      </w:r>
    </w:p>
    <w:p w:rsidRPr="00A4268A" w:rsidP="00621629">
      <w:pPr>
        <w:spacing w:before="240" w:line="276" w:lineRule="auto"/>
        <w:rPr>
          <w:rFonts w:eastAsia="Calibri"/>
        </w:rPr>
      </w:pPr>
      <w:r w:rsidRPr="00A4268A">
        <w:rPr>
          <w:rFonts w:eastAsia="Calibri"/>
        </w:rPr>
        <w:t xml:space="preserve">A diversional therapist and activity assistant implement the integrated rest home and hospital activity programme for the residents.  The programme includes community visitors, outings, entertainment and activities that meet the individual recreational, physical, cultural and cognitive abilities and preferences for each consumer group.  Caregivers provide activities for residents in the dementia care unit.   </w:t>
      </w:r>
    </w:p>
    <w:p w:rsidRPr="00A4268A" w:rsidP="00621629">
      <w:pPr>
        <w:spacing w:before="240" w:line="276" w:lineRule="auto"/>
        <w:rPr>
          <w:rFonts w:eastAsia="Calibri"/>
        </w:rPr>
      </w:pPr>
      <w:r w:rsidRPr="00A4268A">
        <w:rPr>
          <w:rFonts w:eastAsia="Calibri"/>
        </w:rPr>
        <w:t xml:space="preserve">All meals and baking is done on-site.  Residents' food preferences and dietary requirements are identified at admission and accommodated.  The menu is reviewed by the dietitian.  There are nutritious snacks available 24 hours.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rooms are personalised.  Documented policies and procedures for the cleaning and laundry services are implemented with appropriate monitoring systems in place to evaluate the effectiveness of these services.  Systems and training are in place for emergency procedures.  There is a first aider on duty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two residents using restraint and two residents with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42"/>
        <w:gridCol w:w="1280"/>
        <w:gridCol w:w="92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staff (five caregivers, five registered nurses, one care home manager, one clinical manager, one regional manager, one cook, one cleaner, one laundry, one maintenance and one diversional therapist),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nine resident files reviewed (four hospital including a younger person, three rest home including one rest home in dual-purpose bed and two dementia level of care residents).  Advance directives if known were on the resident files.  Resuscitation plans for competent residents were appropriately signed.  Copies of enduring power of attorney (EPOA) were in resident files for residents deemed incompetent to make decisions.  A shortfall was identified around the activation of EPOA for incompetent residents.    The provider stated that they discuss EPOA’s with families at MDR meetings.  They have the conversation with families that they need to discuss this with their GP to activate the EPOA.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where appropriate their family/whānau, are provided with appropriate information to make informed choices and informed decisions.  Residents (six rest home and two hospital) and relatives (one hospital and two of dementia level of care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residents’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quarterly.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complaints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Nine complaints received since August 2015 were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eight residents (six rest home level and two hospital level) and four relatives (two hospitals and two dementia)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Two residents identify as Māori are living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They have a Māori caregiver who is their cultural advisor onsite.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Staff received training on cultural awareness in November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The residents have retained their own general practitioner. The general practitioner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sixteen hours per week with the support of a physiotherapy assistant six hours a week.  There is a regular in-service education and training programme for staff (link1.2.7.5).   A podiatrist is onsite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Liston Heights is benchmarked against the rest home hospital and dementia data. Where the results were above the benchmark, a corrective action plan has been developed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Shortfalls were noted around communication with family in three of 17 incident forms sampled between August 2015 – Feb 2016.   In May 2016, an internal audit was completed by the service around I&amp;A’s with 84% compliance. They identified the issue and implemented a comprehensive CAR well prior to certification. This included training on Incident/Accident form completion on to ensure staff knowledge of the need to notify family of all incidents. Toolbox talks were provided staff.  A repeat internal audit identified all relatives have been informed of all incidents. The matter was discussed at MDR meetings and relatives were advised they will contact them for all incidents unless advised by written request from family with specific detail of when they do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stated that they are kept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Liston Heights Rest Home and Hospital is a Bupa residential care facility.  The service currently provides care for up to 75 residents at hospital (medical, geriatric), rest home and dementia level care.  On the day of the audit, there were 73 residents. There were 26 hospital residents and 6 rest home residents in the hospital wing [all 32 rooms in the hospital wing are dual-purpose] and 29 rest home residents and one hospital resident in the 31 bed rest home wings. There were 11 residents in the 12-bed secure dementia wing. The rest home services are delivered across two floors. Two hospital residents are funded by a Māori heath care provider, including one resident admitted under a young person with disability contact.  All other residents were under the aged related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Liston Heights is part of the midlands Bupa region and the managers from this region meet quarterly to review and discuss the organisational goals and their progress towards these. The care home manager provides a weekly report to the Bupa operations manager.  The operations manager teleconferences monthly and completes a report to the director of care homes and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sent to the Bupa quality and risk team on the progress and actions that have been taken to achieve the Liston Heights quality goals.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also in place.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June 2015.  The care home manager is registered nurse with a current practising certificate.  She has held managerial district health board (DHB) roles including associate director of nursing.  She holds a master’s degree in nursing and has a postgraduate diploma in health science.  A clinical manager has been in the role since March 2016. The clinical manager was previously a registered nurse at Liston Heights.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manager/registered nurse (RN) who is employed full time, supports the care home manager, and steps in when the care home manager is absent.  The operations manager, who visits regularly, supports both mangers.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well established.  Interviews with the managers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Quality Goals for 2016 include (i) Increase RN participation in PDRP, (ii) reduce resident falls across the facility by 10% from 2015 and (iii) reduce the number of pressure areas by 20% from 2015.  Actions, and progress to meeting these goals is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Quality and risk data, including trends in data and benchmarked results are discussed in staff meetings.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 results for 2016 improved from 88% in 2015 to 96% in 2016.  A corrective action plan is being implemented to ensure a higher return rate for 2017.</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 health and safety system is in place.  Hazard identification forms and a hazard register are in place. The maintenance person is the health and safety officer and has completed health and safety and investigation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the immediate action noted and any follow-up action(s) required.  Each event involving a resident reflected an initial clinical assessment by a registered nurse.  Not all follow-up actions had been fully completed (link 1.3.6.1).  Incident/accident data is linked to the organisation's quality and risk management programme and is used for comparative purposes.  Seventeen accident/incident forms were reviewed.  Incidents are benchmarked and analysed for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care home manager and clinical manager confirmed that there is an awareness of the requirement to notify relevant authorities in relation to essential notifications.  Appropriate notification was made around the outbreak in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Nine staff files reviewed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A new orientation schedule has been introduced in 2016 for new staff. This is an orientation day off the floor, for newly recruited staff in the last 3 months, to ensure they are supported with the completion of their orientation documentation. The content of the day aligns with their orientation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Attendance numbers at education sessions has not been consistently high.  Opportunistic education is provided via toolbox talks. Education and training for clinical staff is linked to external education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RN competencies include assessment tools, blood sugar levels/insulin administration, controlled medications, moving &amp; handling, nebuliser, oxygen administration, tube feeds, restraint, wound management, cardiopulmonary resuscitation and syringe driver.</w:t>
            </w:r>
          </w:p>
          <w:p w:rsidR="00EB7645" w:rsidRPr="00BE00C7" w:rsidP="00BE00C7">
            <w:pPr>
              <w:pStyle w:val="OutcomeDescription"/>
              <w:spacing w:before="120" w:after="120"/>
              <w:rPr>
                <w:rFonts w:cs="Arial"/>
                <w:b w:val="0"/>
                <w:lang w:eastAsia="en-NZ"/>
              </w:rPr>
            </w:pPr>
            <w:r w:rsidRPr="00BE00C7">
              <w:rPr>
                <w:rFonts w:cs="Arial"/>
                <w:b w:val="0"/>
                <w:lang w:eastAsia="en-NZ"/>
              </w:rPr>
              <w:t>Eight of fourteen registered nurses are InterRAI trained. Eight of 10 caregivers working in the dementia unit have completed the required dementia course modules qualifications.  Two staff have been employed less than 6 months and have commenced the required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on-call after hours. The care home manager and clinical manager are available during weekdays.  Adequate RN cover is provided 24 hours a day, seven days a week.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are provided for families and residents prior to admission or on entry to the service.  Seven admission agreements reviewed (for long-term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(RNs, ENs and caregivers) have been assessed for competency on an annual basis.  Registered nurses have completed syringe driver training.  Education around safe medication administration has been provided annually.  There is evidence of medication reconciliation on delivery of medications.  Medication fridges are checked daily and are maintained within the acceptable temperature range.  All eye drops were dated on opening.  Each resident has a current standing order. There were no self-medicating residents.    </w:t>
            </w:r>
          </w:p>
          <w:p w:rsidR="00EB7645" w:rsidRPr="00BE00C7" w:rsidP="00BE00C7">
            <w:pPr>
              <w:pStyle w:val="OutcomeDescription"/>
              <w:spacing w:before="120" w:after="120"/>
              <w:rPr>
                <w:rFonts w:cs="Arial"/>
                <w:b w:val="0"/>
                <w:lang w:eastAsia="en-NZ"/>
              </w:rPr>
            </w:pPr>
            <w:r w:rsidRPr="00BE00C7">
              <w:rPr>
                <w:rFonts w:cs="Arial"/>
                <w:b w:val="0"/>
                <w:lang w:eastAsia="en-NZ"/>
              </w:rPr>
              <w:t>Medication chart prescribing meets legislative requirements.  Eighteen medication charts reviewed (eight hospital, six rest home and four dementia care) had photo identification and allergy status documented on the chart.  The administration sheets corresponded with the medication charts.  Thirteen medications charts evidenced three monthly GP review.  The GP or psychogeriatric team monitor the use of antipsychotic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 site by two cooks.  Cook assistants and kitchenhands support them.   Food services staff have attended food safety training.  The four weekly seasonal menu has been reviewed by a dietitian.  Meals are served directly to the hospital dining area from the kitchen bain-marie.  Food is delivered to the kitchenette bain-maries in the rest home and dementia care unit.  The cook receives a resident dietary profile for new residents and is notified of any dietary changes.  Likes and dislikes are known.  Special diets are accommodated including diabetic desserts and non-protein diet (until 5pm) and modified foods.   The cook is notified of any residents with weight loss.  Protein drinks and fluids were available in the kitchenette fridges.  There were nutritious snacks available 24 hours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 cooked meat temperatures are taken and recorded daily.  Perishable foods sighted in the kitchen and facility kitchenette fridges were dated.  The dishwasher is checked regularly by the chemical supplier.  Staff have received training in chemical safety.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booklet on admission including relevant risk assessment tools.  An InterRAI assessment is undertaken within 21 days of admission and six monthly, or earlier due to health changes.  Resident needs and supports are identified through the ongoing assessment process in consultation with significant others.  InterRAI assessments, assessment notes and summary were in place for the long-term resident files reviewed.  The long-term care plans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care plans reviewed were resident-focused and individualised.  Overall resident files reviewed identified support needs as assessed were included in the care plans.  However some interventions could be more descriptive.  Short-term care plans were in use for changes to health status and have been resolved or if ongoing transferred to the long-term care plan.  Care plans included the management of behaviours, triggers, interventions and de-escalation techniques including activities over a 24-hour period.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GP, psychogeriatrician, community mental health nurse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 nurse specialist consultation.  There was documented evidence that family members were notified of any changes to their relative’s health status. Discussions with families were recorded on the family/whānau contact sheet in the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eight hospital residents and four rest home residents.  There were no residents in the dementia care unit with wounds.  One chronic wound documentation evidenced wound nurse specialist involvement in the management of the wound.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place for observations, specific recordings, weight, food and fluid, neurological observations, behaviour, wounds and restraints.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and an activity assistant who work a four day on, four days off roster.  The integrated rest home and hospital activity programme covers seven days a week.   Activities are held within the hospital or rest home and open to all residents.  The activity team provide individual and group activities for rest home and hospital residents that includes; craft, music, exercises, reminiscing, entertainers and outings.   One-on-one activities occur such as individual walks, reading and chats and nail/hand care for residents who are unable or choose not to be involved in group activities.  Community links are maintained with church groups, grey power, age concern, community speakers and other community clubs and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on duty in the dementia unit incorporate resident small group and individual activities as part of their duty.  Individual participation records are maintained.  Caregivers interviewed were able to describe how they met the resident’s individual recreational preferences.  Activities were observed in the unit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is completed on admission.  Socialising and activities is included in the My Day, My Way care plan.  The DT is involved in the six monthly review.     The service receives feedback and suggestions for the programme through surveys and resident meetings.  Monthly newsletters inform residents and relatives on upcoming activities and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had been reviewed by the multidisciplinary team (MDT) at least six monthly or earlier for any health changes.  Family are invited to attend the MDT review and are informed of any changes if unable to attend.  The GP reviews the residents at least three monthly or earlier if required.  Ongoing nursing evaluations occur as indicated and are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Chemicals were correctly labelled and stored safely throughout the facility.  A chemical spills kit is available.  Personal protective clothing is available for staff and seen to be worn by staff when carrying out their duties on the day of audit.  Staff have completed chemical safety training provided by the chemical supplier.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2017.  The building has two levels with lift and stair access between the two rest home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 time maintenance person who is a health and safety officer.  The maintenance person ensures daily maintenance requests are addressed and a planned maintenance schedule is maintained.  Essential contractors are available 24 hours.  Electrical testing is completed annually.  An external contractor completes annual calibration and functional checks of medical equipment.  The maintenance person carries out regular checks of transferring equipment and company vehicles.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and maintained at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or for the use of hoists and hospital recliners on wheels.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including ramp access to the outdoor areas.  Seating and shade is provided.  The dementia unit has a safe indoor and outdoor environment with a deck, seating, shade and raised gardens.  Environmental improvements include upgrading of bedroom floors to vinyl and the replacement of mattresses with high pressure injury prevention rating properties.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rooms all have ensuites.  There is a mix of hospital rooms with and without ensuites.  There are adequate numbers of toilets and shower facilities in the hospital wings.  The dementia unit has adequate communal toilets and showering facilities identified with the same colour doors and large pictorials.  All rooms have hand basins.   Residents interviewed confirm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and spacious.  There is adequate room to safely manoeuvre mobility aids and transferring equipment such as hoists in the resident bedrooms.  Residents and families are encouraged to personalise their rooms.  A tour of the facility evidenced personalised rooms including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and a smaller lounge in the hospital wings.  The large hospital dining room is adjacent to the kitchen.  There are seating alcoves throughout the facility.  Both rest home wings have lounge and dining areas.  The lounge and dining area in the dementia unit is open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in the lounges is arranged to allow both individual and group activities to occur.  All communal areas are accessible to residents.  Care staff assist or transfer residents to communal areas for dining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cleaning staff on duty seven days a week.  The laundry and cleaning staff have completed chemical safety training.  There is an entry and exit door with defined areas for clean and dirty laundry.  The cleaner’s trolleys are stored in locked areas when not in use.  Internal audits monitor the effectiveness of the cleaning and laundry processes.  The chemical supplier conducts quality checks on the effectiveness of washing and cleaning processes.  The laundry has a labeller for residents clothing to minimise lost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on 19 June 2016 following changes to the existing fire system.  There are emergency management plans in place to ensure health, civil defence and other emergencies are included.  Six monthly fire evacuation attendance documentation was sighted.  A contracted service provides checking of all facility equipment including fire equipment.  Fire training and security situations are part of orientation of new staff and include competency assessments.  Emergency equipment including oxygen and suction is available at the facility.  There are adequate supplies in the event of a civil defence emergency including food, water, backup gas boilers, gas cooking and barbeque.  There is an arrangement with a local contractor to provide a generator on request. Emergency lighting is in place.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toilets and showers and lounge/dining room areas.  Residents were observed to have their call bells in close proximity.  The facility is secure after hours with call bell access at the front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provided with adequate natural light, safe ventilation, and an environment that is maintained at a safe and comfortable temperature.  There is radiator heating throughout the facility including the resident rooms.   The residents and family interviewed confirmed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the clinical manager and is responsible for infection control across the facility.  The committee and the Bupa governing body in conjunction with an external consultant is responsible for the development of the infection control programme and its review.  The infection control programme is well established at Liston Heights.  The infection control committee consists of a cross-section of staff and there is external input as required from general practitioners, Bupa quality &amp; risk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Liston Heights.  The infection control (IC) nurse has maintained best practice by attending infection control updates and has completed a postgraduate diploma in infection control.  The infection control team is representative of the facility.  External resources and support are available through the Bupa quality &amp; risk team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Orientation package includes specific training around hand hygiene and standard precautions. Infection control training is regularly held, including (but not limited to) food safety August 2016, standard precautions and infection prevention &amp; control (July 2016).</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received education both in-house and by an external provider to enhance their skills and knowledge.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been provided including (but not limited to) preventing UTIs.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Infections statistics are included for benchmarking.  Corrective actions are established where trends are identified. An outbreak of sapovirus in June 2016 was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and regional restraint meetings and at an organisational level.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two hospital residents using restraint (bedrails) and two hospital residents with enablers (bedrails).  All enabler use is voluntary. Two files of residents using a restraint and two files of residents using an enabler were reviewed.  The enabler and restraint assessment forms were completed and correctly signed. These had been evaluated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staff that have completed a competency assessment are permitted to apply restraints. Competency assessments expire annually and are renewed by the restraint coordinator. There is a responsibilities and accountabilities table in the restraint policy that includes responsibilities for key staff at an organisation level and a service level. The restraint coordinator is a registered nurse and has a signed job description, and understands the role and her accountabilities.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A registered nurse is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resident by the staff.  There were restraint assessment tools completed for two hospital residents requiring bedrails for safety.  The care plan was up-to-date and provides the basis of factual information in assessing the risks of safety and the need for restraint.  Ongoing consultation with the resident and family/whānau is also identified.  Falls risk assessments are completed six monthly and InterRAI assessment identifies risk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 reviewed refers to specific interventions or strategies to try (as appropriate) before use of restraint. The care plans were reviewed of the residents using restraint and enablers and the care plans identified the observations and monitoring required.  Not all residents using an enabler had a care plan and not all required monitoring was documented.  Restraint use is reviewed through the three monthly assessment evaluation, monthly restraint meetings and six monthly multidisciplinary meeting and includes family/whānau input.  A restraint register is in place, which has been completed for all residents using a restraint or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the internal audit programme.  Restraint usage throughout the organisation is also monitored regularly and is benchmarked. Review of this use across the group is discussed at the regional restraint approval group and information is disseminated throughout the organisation. The organisation and facility are very proactive in minimising restraint usage.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914"/>
        <w:gridCol w:w="1280"/>
        <w:gridCol w:w="2411"/>
        <w:gridCol w:w="2930"/>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EPOA are available in the residents file.  Five of nine residents were deemed to be incompetent.  The EPOA of one resident had been activated by a GP letter of mental capacity.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residents deemed incompetent to make decisions relating to health and welfare did not have documented evidence that the EPOA had been activated. Advised that they discuss this with families at MDR meetings.  They have the conversation with families that they need to discuss this with their GP to activate the EPOA.  </w:t>
              <w:tab/>
              <w:t xml:space="preser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EPOAs are activated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are pharmacy generated and meet legislative requirements including ‘indications for use’ of ‘as required’ medication.  The prescriber has reviewed 13 medication charts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18 medications charted did not evidence that three monthly reviews had been completed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medication charts are documented as reviewed three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nine resident files reviewed identified all required needs and interventions to meet resident goals.   Short-term care plans had been completed for wounds, infections and short-term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limited interventions documented for; a) two hospital residents with high risk of pressure injury, b) one hospital resident identified as a choking risk, c) two rest home residents at risk of absconding and d) one hospital resident with a change in medical condition as documented in the medical notes. As there were interventions documented, but could be more detailed this has been identified as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the resident’s current needs and supports.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sugar levels, pain, challenging behaviour, repositioning charts, food and fluid, restraint and visual checks. Visual checks had not been documented as completed for two rest home residents at risk of absconding.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Visual checks had not been documented as completed for two rest home residents at risk of absconding.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monitoring requirements are completed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care plans are documented by the registered nurse and or the restraint coordinator. Not all residents using an enabler had an enabler care plan. Staff report that they regularly check on residents while restraint and enablers are in use, but this is not being consistently documented on the restraint monitoring forms.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two residents (hospital) using an enabler did not have an enabler care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Monitoring was not consistently documented for two hospital residents using a restraint and two hospital residents using an enabler.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residents using a restraint or enabler have a documented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 monitoring and observations of residents using a restraint or enabler is consistently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Liston Heights Rest Home &amp; Hospital</w:t>
    </w:r>
    <w:bookmarkEnd w:id="58"/>
    <w:r>
      <w:rPr>
        <w:rFonts w:cs="Arial"/>
        <w:sz w:val="16"/>
        <w:szCs w:val="20"/>
      </w:rPr>
      <w:tab/>
      <w:t xml:space="preserve">Date of Audit: </w:t>
    </w:r>
    <w:bookmarkStart w:id="59" w:name="AuditStartDate1"/>
    <w:r>
      <w:rPr>
        <w:rFonts w:cs="Arial"/>
        <w:sz w:val="16"/>
        <w:szCs w:val="20"/>
      </w:rPr>
      <w:t>11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