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Whitby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Whitby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September 2016</w:t>
      </w:r>
      <w:bookmarkEnd w:id="7"/>
      <w:r w:rsidRPr="009418D4">
        <w:rPr>
          <w:rFonts w:cs="Arial"/>
        </w:rPr>
        <w:tab/>
        <w:t xml:space="preserve">End date: </w:t>
      </w:r>
      <w:bookmarkStart w:id="8" w:name="AuditEndDate"/>
      <w:r w:rsidR="00A4268A">
        <w:rPr>
          <w:rFonts w:cs="Arial"/>
        </w:rPr>
        <w:t>7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Whitby Rest Home and Hospital is part of the Bupa group.  The service is certified to provide hospital (medical, geriatric), psychogeriatric, rest home and dementia level care for up to 104 residents.  On the day of the audit, there were 92 residents.</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care home manager has many years’ experience in aged care and management and has been in the role since February 2016.  An experienced acting clinical manager supports the care home manager.  An orientation and in-service training programme continues to be implemented that provides staff with appropriate knowledge and skills to deliver care.  Residents and family advised that the staff provide a caring and homely environment.</w:t>
      </w:r>
    </w:p>
    <w:p w:rsidRPr="00A4268A">
      <w:pPr>
        <w:spacing w:before="240" w:line="276" w:lineRule="auto"/>
        <w:rPr>
          <w:rFonts w:eastAsia="Calibri"/>
        </w:rPr>
      </w:pPr>
      <w:r w:rsidRPr="00A4268A">
        <w:rPr>
          <w:rFonts w:eastAsia="Calibri"/>
        </w:rPr>
        <w:t>This audit identified improvements required around; quality system, documented registered nurse follow-up, restraint documentation, medication documentation, and safety storage of chemical and oxygen.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Whitby Rest Home and Hospital endeavours to provide care in a way that focuses on the individual residents' quality of life.  There is a Māori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Whitby Rest Home and Hospital has identified quality goals and objectives for the year.  There is an established Bupa quality and risk management system.  An annual resident/relative satisfaction survey is completed and there are regular resident/relative newsletters.  Quality and risk performance is reported to the organisation's management team.  There are four benchmarking groups across the organisation focusing on rest home, hospital, dementia, and psychogeriatric/mental health services.  Whitby Rest Home and Hospital is benchmarked in all of these.  There are human resources policies to guide practice and an orientation programme that provides new staff with relevant information for safe work practice.  There is an in-service training programme covering relevant aspects of care.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There is an activities programme implemented for each unit, (ie, rest home, hospital, dementia and psychogeriatric units), along with shared activities as appropriate.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There is a documented definition of restraint and enablers that is congruent with the definition in the standards.  The process of assessment and evaluation of enabler use is the same as restraint and included in the policy.  The service has seven residents on the register with restraint and four with enablers.  Restraint includes bedrails and seating restraint.  Review of restraint use across the group is discussed at regional restraint approval groups and at the facility in two monthly restraint meetings.  Staff are trained in restraint minimisation and restraint competencies are completed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Bupa quality and risk team supports the infection control officer.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6"/>
        <w:gridCol w:w="1280"/>
        <w:gridCol w:w="90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policies and procedures are being implemented that align with the requirements of the Code of Health and Disability Services Consumer Rights (the Code).  Families and residents have been provided with information on admission, which includes the Code.  Staff have received training about the Code and competency questionnaires are also completed.  Interviews with eleven caregivers (from across all shifts and all units), three activities staff, one enrolled nurse and four registered nurses demonstrate an understanding of the Code.  Four rest home and four hospital residents and ten relatives (six hospital, three dementia and one psychogeriatric) interviewed confirm staff respect privacy, and support residents in making choices were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and is committed to meeting the requirements of the Code of Health and Disability Services Consumers Rights.  There were signed general consents on all ten resident files sampled (two rest home, two psychogeriatric, two dementia and four hospital, including one LTCHC resident under palliative care, level of care residents).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registered nurses (RN) and one enrolled nurse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also reviewed through the six monthly MDT review with residents and relatives and links to the quality system through annual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and information about advocacy services on entry.  Interview with the care home manager and the acting clinical manager confirmed this occurs.  Interview with residents confirmed that they are aware of their right to access advocacy.  Interview with family members confirmed that the service provides opportunities for the family/EPOA to be involved in decisions.  In the files reviewed, there was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policy encourages links with the community.  This was seen to be implemented with the activities programmes including opportunities to attend events outside of the facility.  Residents and relatives interviewed informed visiting can occur at any time, and that the service encouraged involvement with community activities.  Visitors were observed coming and going at all times of the day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procedure to guide practice.  The care home manager has overall responsibility for managing the complaints process at Whitby.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management record has been completed for each of the complaints received in 2016 and a record of all complaints per month had been recorded on the register.  The register included relevant information regarding the complaint including date of resolution.  Verbal complaints are included and actions and response are documented.  Complaints are reported to head office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nine complaints reviewed, seven were care related and/or staff attitude, including one received through the Health and Disability Service commissioner.  All complaints documented a thorough follow up.  Discussion with the operation’s manager, evidences that the service is aware of issues raised and processes are in place to support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around the facility on noticeboards.  Discussion with residents and relatives confirmed they were provided with information on the complaint process.  Complaint forms were visible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There is an opportunity to discuss these services prior to, and during the admission process with the resident and family.  Large print posters of the Code and advocacy information are displayed in the facility.  The families and residents have been informed of the scope of services and any liability for payment for items not included in the scope.  This is included in the service agreement.  The three monthly resident/relative meetings also provide the opportunity to raise issues/concerns, as well as resident specific, three monthly care reviews.  Residents and relatives interviewed confirm information has been provided around the Code and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involves residents in decisions about their care, respects their rights and maintains privacy and individuality.  Ten resident files reviewed identified that cultural and/or spiritual values and individual preferences are identified on admission and then integrated with the resident’s care plan.  There was evidence of family involvement.  A tour of the facility confirmed there is the ability to support personal privacy for residents.  There is an abuse and neglect policy, which is being implemented and includes staff in-service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Māori health plan that aligns with contractual requirements.  There are supporting policies that acknowledge the Treaty of Waitangi, provide recognition of Māori values and beliefs and identify culturally safe practices for Māori.  The Bupa Māori health policy was first developed in consultation with Kaumātua and is utilised throughout Bupa’s facilities.  Family/whānau involvement is encouraged in assessment and care planning.  Visiting is encouraged.  Links are established with disability and other community representative groups as requested by the resident/family.  This includes Ngati Toa and Porirua City Council as part of the youth to work programme, Postgate school, Aotea, Porirua and Mana collages gateway programme.  Cultural needs are addressed in the care plan.  One resident who identified as Māori had relevant cultural care documented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ensuring it understands each resident's preferences and where appropriate their family/whānau.  Values and beliefs have been discussed at the initial care planning meeting and then incorporated into the care plan.  Six monthly multi-disciplinary team meetings are scheduled to assess if needs are being met.  Family are invited to attend.  Family assist residents to complete 'the map of life'.  Discussions with residents and relatives informed values and beliefs are considered.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Conduct is included in the employee pack.  Job descriptions include responsibilities of the position and are in files reviewed.  There are implemented policies to guide staff practice in respect of gifts.  Clinical meetings occur and include discussion on professional boundaries and concerns as they arise (minutes sighted).  Management provide guidelines and mentoring for specific situations.  Interviews with the acting clinical manager four registered nurses and an enrolled nurse confirmed an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Whitby that adhere to the health and disability services standards.  There is an organisational policy and procedure review committee to maintain currency of operating policies.  All Bupa facilities, including Whitby, have a master copy of policies and procedures as well as related clinical forms.  A number of core clinical practices also have education packages for staff, which are based on their policies.  There are four benchmarking groups monitored across Bupa, of which Whitby is benchmarked against rest home, dementia, hospital and psychogeriatric indicators.  Whitby is working to fully implement the Bupa quality and risk management system.  All caregivers are required to complete foundations level two as part of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introduced leadership development of qualified staff including education from HR, attendance at external education, Bupa qualified nurses’ education day and education sessions at monthly meetings.  There are implemented competencies for caregivers, enrolled nurses and registered nurses.  The standardised annual education programme, core competency assessments and orientation programmes were all seen to be being implemented at Whitby.  There is a Bupa "personal best" initiative where staff undertake a project to benefit or enhance the life of a resident(s).  Sixteen caregivers have attained bronze certificate; and two caregivers has attained silver certificate and one caregiver has reached a gold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on their responsibility around open disclosure.  Incident forms reviewed identified that family had been notified following a resident incident.  Relatives stated that they are informed when their family members health status changes.  There is an interpreter policy and contact details of interpreters were available.  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this can be read to residents.  Information specific to the psychogeriatric and dementia unit is provided to family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Whitby is a Bupa facility that provides hospital, rest home, dementia and psychogeriatric level care for up to 103 residents.  Occupancy on the day of audit was 92 residents.  The dementia unit had 32 residents of a capacity of 33, this included one respite resident and one younger person (disabled).  The psychogeriatric unit had 12 of 20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rest home was full with nine residents and the hospital had 38 of 41 residents (this included one palliative resident and one under the long-term chronic condition contract).  The service has no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philosophy of the service includes providing safe and therapeutic care for residents requiring specialised hospital level care (psychogeriatric), dementia care, rest home care and hospital care.  Bupa have identified six key values that are displayed on the wall at Whitby.  There is an overall Bupa business plan and risk management plan and a documented purpose, values, and direction.  Each facility is required to develop annual quality goals.  Examples of the 2016 goals at Whitby include reducing falls and continuing the Bupa B fit plans.  Progress towards goals were reported through the various meetings, for example, the quality meetings, and staff meetings, a quarterly review of progress is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at Whitby is an experienced aged care manager (enrolled nurse) from another Bupa facility, who recently took over the management of the service (February 2016).  He is supported by an experienced, acting clinical manager (registered nurse) who oversees clinical care.  Recruitment for a permanent clinical manager is in process.  Two newly employed unit coordinators are in place for the dementia unit and for the hospital and psychogeriatric unit.  The wider Bupa management team that includes a supportive operations manager supports this new management team.  Bupa provides a comprehensive orientation and training/support programme for their managers.  Managers and clinical managers attend annual forums and regional forums six monthly.  The manager has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acting clinical manager provides cover for the manager’s role, supported by the operations manager.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Bupa quality and risk management system, designed so that key components are linked to facility operations.  The service has a series of meetings, including six monthly quality meetings, six monthly staff meetings, intermittent clinical meetings and three monthly resident, health and safety and infection control meetings.  Quality data and quality outcomes are not documented as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however, internal audit outcomes are not documented as discussed at meetings.  Post-audit action plans are documented where issues are raised; however, these are not always signed of as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has undertaken an internal audit of a selection of resident files each month.  There are documented emails to RNs outlining gaps/shortfalls in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There are implemented risk management and health and safety policies and procedures in place, including accident and hazard management.  Falls prevention strategies are implemented for individual residents and staff receive training to support falls prevention.  The service collects information on resident incidents and accidents as well as staff incidents/accidents.  The service does not always document an action plan where incidents fall above the benchmark.  There is no documented trend analysis and that supports ongoing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Bupa head office.  The service has comprehensive policies/procedures to support service delivery including a policy around meeting InterRAI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documented.  Incident forms reviewed had been completed comprehensively, reviewed by the clinical manager and signed off, however RN follow-up was not always documented in the resident files and neurological observation were not always documented for an acceptable period of time.  </w:t>
            </w:r>
          </w:p>
          <w:p w:rsidR="00EB7645" w:rsidRPr="00BE00C7" w:rsidP="00BE00C7">
            <w:pPr>
              <w:pStyle w:val="OutcomeDescription"/>
              <w:spacing w:before="120" w:after="120"/>
              <w:rPr>
                <w:rFonts w:cs="Arial"/>
                <w:b w:val="0"/>
                <w:lang w:eastAsia="en-NZ"/>
              </w:rPr>
            </w:pPr>
            <w:r w:rsidRPr="00BE00C7">
              <w:rPr>
                <w:rFonts w:cs="Arial"/>
                <w:b w:val="0"/>
                <w:lang w:eastAsia="en-NZ"/>
              </w:rPr>
              <w:t>Monthly gathering of incident data by type has been undertaken by the service and data was linked to the organisation's benchmarking programme and used for comparative purposes (link to 1.2.3.6).  Senior management were aware of the requirement to notify relevant authorities in relation to essential notifications.   Reportable events for 2015 and 2016 have included; (i) Police called to assist with one violent resident, and one resident who had absconded (both 2015).  (ii) A resolved Health and Disability Commissioner complaint for 2016, and (iii) an outbreak of Norovirus May 2015, which was managed and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Ten staff files were reviewed and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new management team who are being supported by the operations manager and an experienced care centre manager.  There are also a number of new and relatively junior RNs in post.  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was a completed in-service calendar for 2016, which exceeded eight hours annually.  Caregivers have completed either the national certificate in care of the elderly or have completed or commenced the Careerforce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29 caregivers who work in the dementia and psychogeriatric units.  Twenty of these have completed the required NZQA dementia standards.  The other nine have been working there for less than twelve months and are enrolled.  The acting clinical manager and registered nurses attend external training including conferences, seminars and sessions provided by Bupa and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The caregivers undertake aged care education (Careerforce).  Education and training for clinical staff is linked to external education provided by the district health board and through Bupa RN study days.  </w:t>
            </w:r>
          </w:p>
          <w:p w:rsidR="00EB7645" w:rsidRPr="00BE00C7" w:rsidP="00BE00C7">
            <w:pPr>
              <w:pStyle w:val="OutcomeDescription"/>
              <w:spacing w:before="120" w:after="120"/>
              <w:rPr>
                <w:rFonts w:cs="Arial"/>
                <w:b w:val="0"/>
                <w:lang w:eastAsia="en-NZ"/>
              </w:rPr>
            </w:pPr>
            <w:r w:rsidRPr="00BE00C7">
              <w:rPr>
                <w:rFonts w:cs="Arial"/>
                <w:b w:val="0"/>
                <w:lang w:eastAsia="en-NZ"/>
              </w:rPr>
              <w:t>Bupa is the first aged care provider to have a council approved PDRP.  The Nursing Council of NZ has recently approved and validated their PDRP for five years.  Bupa takes over the responsibility for auditing their qualified nurses.  At Whitby, two qualified staff have completed PDRP.</w:t>
            </w:r>
          </w:p>
          <w:p w:rsidR="00EB7645" w:rsidRPr="00BE00C7" w:rsidP="00BE00C7">
            <w:pPr>
              <w:pStyle w:val="OutcomeDescription"/>
              <w:spacing w:before="120" w:after="120"/>
              <w:rPr>
                <w:rFonts w:cs="Arial"/>
                <w:b w:val="0"/>
                <w:lang w:eastAsia="en-NZ"/>
              </w:rPr>
            </w:pPr>
            <w:r w:rsidRPr="00BE00C7">
              <w:rPr>
                <w:rFonts w:cs="Arial"/>
                <w:b w:val="0"/>
                <w:lang w:eastAsia="en-NZ"/>
              </w:rPr>
              <w:t>Nine of 11 registered nurses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BSLs/Insulin administration, CD administration, moving &amp; handling, nebuliser, oxygen administration, PEG tube care/feeds, restraint, wound management, CPR and T34 syringe driver.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The WAS (Wage Analysis Schedule) is based on the Safe indicators for Aged Care and Dementia Care and the roster is determined using this as a guide.  A report is provided fortnightly from head office that includes hours and whether hours are over and above.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acting clinical manager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psychogeriatric unit has a registered nurse on duty every shift.  There are two caregivers each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is unit coordinator (RN) who is employed from 08:00 – 16:00 Monday – Friday.  She is assisted by five caregivers on the morning and afternoon shifts (one short shifts and three full shifts), and two caregivers work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one caregiver is scheduled on the morning one in the afternoon and one at night and the hospital has seven caregivers in the morning and five in the afternoon, a mixture of long and short shifts. There is also a RN rostered 24/7 in the hospital unit.  The unit coordinator and RNs from the hospital wing provides oversight to the rest home.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roster and comparison with actual staffing evidences that there are sufficient staff on all shifts and that staffing matches the roster.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Other residents or members of the public cannot view sensitive resident information.  Resident files were protected from unauthorised access by being held in locked cupboards.  Care plans and notes were legible and where necessary signed and dated by a registered nurse.  Entries are legible, dated and signed by the relevant caregiver or registered nurse including designation.  Individual resident files demonstrate service integration.  An allied health section contained general practitioner notes and the notes of allied health professionals and specialists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for dementia and psychogeriatric services.  The admission agreement reviewed aligns with the service’s contracts.  Ten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senior caregivers responsible for the administering of medications have completed annual medication competencies and annual medication education.  There are no standing orders.  There was one self-medicating rest home resident on the day of audit.  Self-medicating competency, three monthly reviews and monitoring was in place.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(three rest home, eight hospital, four dementia and three psychogeriatric).  Photo identification was on all charts and charting met requirements.  All medication charts had been reviewed by the GP at least three monthly.  Eighteen of 20 resident medication administration-signing sheets corresponded with the medication chart.  A shortfall was identified around the administration of regular medication on two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team leader (qualified cook) oversees the food services and is supported by a chef, a cook in training and four kitchenhands.  The Bupa national four weekly rotating summer/winter menus have been audited and approved by an external dietitian.  All baking and meals are cooked on-site in the main kitchen.  Meals are delivered in three bain-maries and a hot box to each unit where they are served.  The team leader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End cooked food temperatures are recorded prior to placement in bain-marie or hot box.  Fridges and freezer temperatures are monitored and recorded daily.  All foods are dated in the chiller, fridges and freezers.  Dry goods are stored in dated sealed containers.  Chemicals are stored safely.  Cleaning schedules are maintained.  A planned refurbishment of the kitchen was due to commence.  On audit, all work surfaces were stainless steel and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comprehensively completed for all the resident files reviewed.  InterRAI initial assessments and assessment summaries were evident in printed format in all files.  Files reviewed across the rest home, hospital, dementia and psychogeriatric units identified that risk assessments have been completed on admission and reviewed six monthly as part of the evaluation.  Additional assessments for management of behaviour, wound care and restraint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demonstrated service integration and input from allied health.  Overall, resident care plans sampled were resident centred and support needs and interventions were documented in detail (link 2.2.3.4 re: interventions around restraint).  Residents and family members interviewed confirm they are involved in the development and review of care plans.  Care plans were amended to reflect changes in health status and were reviewed on a regular basis.  Short-term care plans were in use for changes in health status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interventions that reflected the resident’s current needs.  When a residents condition changes the RN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continence products identified for day use, night use, and other management.  Specialist continence advice is available as needed and this could be described by the RNs interviewed.  Caregivers, RNs and the EN interviewed state there is adequate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for all wounds in the rest home and hospital (four ulcers including one carcinoma).  In the psychogeriatric unit, there was one ulcer and on day of audit, there were no wounds in the dementia unit.  Supra pubic catheter sites were included in the wound log.  There were four pressure injuries, three of which were facility acquired.  Specialist wound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utilised and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activity coordinators who between them work 127.5 hours per week, covering Sunday to Friday.  They have over twenty years’ experience between them.  All coordinators have attained recognised units of learning in dementia, hold a current first aid certificate and attend the six monthly Bupa workshops and on-site in-service.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programme running in each of the four units (psychogeriatric, hospital, rest home and dementia) to meet the identified needs of the residents.  This programme is printed for all (available throughout the facility and in individual bedrooms) and many activities are integrated with residents moving from unit to unit for some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all resident groups.  One-on-one time is spent with residents who are unable to or choose not to join in the group activities.  A volunteer is involved in the activity programme running a craft group.  Entertainers come twice weekly (including the weekend).  There is a range of activities including a staff member who is a pianist, visiting pets, kindergarten groups, school and cultural groups that reflect the culture of many of the residents.  Residents go on regular outings and drives in the Bupa Whitby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and some attend church services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when changes to care occurred in nine of ten resident files reviewed (one sampled file was of a resident in the dementia unit who had not been at the service six months).  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The multidisciplinary review involves the RN, GP, activities staff and resident/family.  The family are notified of the outcome of the review if unable to attend.  There is at least a three monthly review by the medical practitioner.  There was evidence that family members are invited to have input into the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unit coordinators and RNs identified that the service has access to a wide range of support either through the GP, the care coordinator at the DHB,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Management of waste and hazardous substances is covered during orientation of new staff.  Chemicals are stored safely in locked cupboards.  Safety datasheets and product wall charts are available.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Staff have attended chemical safety training with the approved provider for chemicals.  There was a shortfall in the labelling of chemicals and storage of oxygen cylinders.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dated 24 June 2016.  Reactive maintenance (maintenance requests logbooks) and a 52 week planned maintenance schedule are in place and maintained.  A maintenance person is employed and on interview indicated a good understanding of providing a safe and appropriate environment for residents.  Medical equipment including hoists and weighing scales have been calibrated.  Electrical testing and tagging has been completed annually.  The hot water temperatures are monitored fortnightly at delivery point and are maintained between 43-45 degrees Celsius.  The maintenance person is on call and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is light and roomy providing a range of sitting areas for the residents in each of the units with good visibility of residents as appropriate.  Mirrors and CTV cameras are present in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a secure garden off the dementia unit and one off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access to hand basins.  Not all rooms have ensuites.  There are adequate numbers of communal toilets and shower rooms.  There are communal toilets located close to communal areas in the psychogeriatric, dementia and hospital areas.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hospital, dementia and psychogeriatric rooms are spacious enough to manoeuvre transferring and mobility equipment, to deliver the assessed level of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lounge and dining room.  The hospital and rest home also have a large lounge, which is used by all residents as appropriate.  The dementia and psychogeriatric units have additional separate quiet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Seating (including specialised hospital chairs) and space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on-site.  There are two laundry persons on duty Monday to Friday and one on Saturday and Sunday.  There are defined clean/dirty areas.  Cleaner’s trolleys are stored in locked areas when not in use.  There were adequate linen supplies sighted in the facility linen-store cupboards.  Internal audits monitor the effectiveness of laundry and cleaning processes.  The chemical provider audits the effectiveness of chemicals for laundry and cleaning services (link 1.4.2.1).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are undertaken six monthly.  Smoke alarms, sprinkler system and exit signs are in place.  The service has alternative gas facilities for cooking in the event of a power failure, with a backup system for emergency lighting.  There are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throughout the personal and communal areas.  All communal areas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scope of the infection control programme policy and the description of the infection control programme are available.  There is a job description for the infection control (IC) coordinator and clearly defined guidelines.  The infection control programme is linked into the quality management programme.  The infection control committee meets three monthly.  The IC programme is reviewed annually at head office.  The facility has developed links with the GPs, local laboratory, the infection control and public health departments at the local DHB.  Bupa have a regional infection control group (RIC) for the three regions in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is made up of a cross section of staff from all areas of the service.  The facility also has access to an infection control nurse specialist, public health,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preparation, responsibilities and job descriptions, waste disposal, and notification of diseases.  Infection control procedures developed and contained in the kitchen, laundry and the housekeeping manuals incorporate the principles of infection control.  These principles are documented in the service policies contained within the infection control manual.  External expertise can be accessed as required, to assist in the development of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The IC coordinator (RN) is suitably skilled and trained to manage infection matters.  The orientation package for new staff includes specific training around hand washing and standard precautions.  There has been infection control training provided as part of the annual education schedule.  Toolbox sessions are also used opportunistically to maintain staff knowledge.  Resident education is expected to occur as part of providing daily cares.  Support plans can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 control data is collated monthly and reported at the three monthly infection control meetings.  The surveillance of infection data assists in evaluating compliance with infection control practices.  Internal infection control audits also assist the service in evaluating infection control needs.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restraint group at an organisation level reviews restraint practices.  A Whitby two monthly restraint committee is responsible for restraint review and use.  There is a documented definition of restraint and enablers, which is congruent with the definition in NZS 8134.0.  There are clear guidelines in the policy to determine what restraint is and what an enabler is.  The restraint policy includes comprehensive restraint procedures.  Discussion with the restraint coordinator (RN) confirms the service commitment to reducing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with enablers in the hospital, all bed rails.  There was one resident with bedrails as restraint in the psychogeriatric unit.  The hospital has seven residents with restraint; five bedrails and four T belts (some residents had both).  All restraint use is recorded on a restraint register.  </w:t>
            </w:r>
          </w:p>
          <w:p w:rsidR="00EB7645" w:rsidRPr="00BE00C7" w:rsidP="00BE00C7">
            <w:pPr>
              <w:pStyle w:val="OutcomeDescription"/>
              <w:spacing w:before="120" w:after="120"/>
              <w:rPr>
                <w:rFonts w:cs="Arial"/>
                <w:b w:val="0"/>
                <w:lang w:eastAsia="en-NZ"/>
              </w:rPr>
            </w:pPr>
            <w:r w:rsidRPr="00BE00C7">
              <w:rPr>
                <w:rFonts w:cs="Arial"/>
                <w:b w:val="0"/>
                <w:lang w:eastAsia="en-NZ"/>
              </w:rPr>
              <w:t>Files for three residents with restraint were reviewed, one from the psychogeriatric unit and two from the hospital and one enabler from the hospital, (link to 2.2.3.4).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The service has a restraint coordinator position description.   Assessment and approval processes for restraint interventions included the restraint coordinator, clinical manager, registered nurses, resident/or family representative and medical practitioner.  Restraint use and review is part of the two monthly restraint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comprehensive assessments for residents who require restraint interventions.  These were undertaken by suitably qualified and skilled staff in partnership with the family/whānau.  The restraint coordinator, clinical manager, registered nurses, the resident and/or their representative and a medical practitioner were involved in the assessment and consent process.  Assessments and approvals for restraint were fully completed.  These were sighted in the three restraint files reviewed and one enabler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approval processes are followed.  An assessment form/process was completed for all restraints.  The four files (three restraint and one enabler) reviewed all had a completed assessment form, but not all care plans included reference to the restraint or enabler and the risks associated with their use.  Monitoring forms that included regular two hourly monitoring (or more frequent) were not always present in the restraint files reviewed or for the enabler.  Consent forms detailing the reason and type of restraint were completed.  The service has a restraint and enablers register, which had been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four files reviewed, evaluations had been completed with the resident, family/whānau, restraint coordinator and medical practitioner.  Restraint practices were reviewed on a formal basis every month by the facility restraint coordinator at quality and also two monthly restraint meetings.  Evaluation timeframes were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were completed three monthly or sooner if a need is identified.  The restraint coordinator completed reviews.  Any adverse outcomes were included in the restraint coordinators monthly reports and were reported at the monthly meetings.  Restraint use is reviewed as part of the quality team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35"/>
        <w:gridCol w:w="1280"/>
        <w:gridCol w:w="2265"/>
        <w:gridCol w:w="4009"/>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robust and comprehensive quality system and process.  The new management team at Whitby is in the process of ensuring the full implementation of the process.  Meetings are documented six monthly for quality and staff, and not always monthly for registered nurses.  Quality information is not documented as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accidents are collated monthly and benchmarked across all of the service areas.  Each month, information is provided to the service illustrating areas where incident falls outside the Bupa acceptable ranges.  There is no documented evidence that the service has utilised the clinical indicator – corrective action forms to address areas above the benchmark.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two staff meetings and two quality meetings documented for 2016.  Clinical focused meetings have not always occurred monthly.  (ii) Quality information is not documented as discussed, at the meetings (eg, such as audits outcomes, complaints, infection control and incidents and accidents).  (iii) There is no documentation to evidence that trends are reported, analysed and action plans implemented as needed. (iv) There was no documented evidence that action plans have been utilised as a result of analysis of benchmarking outcomes, (eg, high falls in the rest home for June and July and high urinary tract infections in the hospital January, February March and June).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meetings take place according to the meeting schedule.  (ii) Ensure that quality data and outcomes are reported and discussed at meetings.  (iii) - (iv) Ensure that trends analysis is undertaken, reported and followed-up.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forms are completed for all incidents, accident and unwanted events.  Incident forms reviewed had all been reviewed and signed off by an RN.  Not all documentation reviewed, identified ongoing assessment and evaluation by an RN post-incident, and neurological observations were not documented as undertaken for an appropriate length of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follow-up following resident related incidents was not always documented to ensure resident safety and ongoing care and monitoring.  This included neurological observations not being undertaken for an appropriate length of time following a blow to the head or unwitnessed fall for two dementia residents, three hospital residents, and two psychogeriatric residents.  For these residents neurological observations were undertaken for an average of twice only.  </w:t>
            </w:r>
          </w:p>
          <w:p w:rsidR="00EB7645" w:rsidRPr="00BE00C7" w:rsidP="00BE00C7">
            <w:pPr>
              <w:pStyle w:val="OutcomeDescription"/>
              <w:spacing w:before="120" w:after="120"/>
              <w:rPr>
                <w:rFonts w:cs="Arial"/>
                <w:b w:val="0"/>
                <w:lang w:eastAsia="en-NZ"/>
              </w:rPr>
            </w:pPr>
            <w:r w:rsidRPr="00BE00C7">
              <w:rPr>
                <w:rFonts w:cs="Arial"/>
                <w:b w:val="0"/>
                <w:lang w:eastAsia="en-NZ"/>
              </w:rPr>
              <w:t>Incident forms were followed up to the resident files for; two dementia residents, one hospital resident and one psychogeriatric resident.  The hospital resident had sustained two falls for August.  While, the care plan did reflect this risk, one of the falls had no documentation in progress notes (or elsewhere) to reflect the resident had been reviewed post-fall.  One dementia resident had possibly been poked in the eye.  There was no documented RN review of this resident other than immediate post injury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post incident monitoring such as neurological observation are documented according to Bupa timeframes.  Ensure that RNs document a follow-up review of residents post injury.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of twenty medication charts reviewed met legislative requirement.  Discontinued medications were dated and signed by the GP.  All ‘as required’ medications had an indication for use.  An electronic system for signing for medication administration was used.  On two of the medication charts reviewed, signing had not occurred, as the medications had not been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was charted regular pain relief did not have it documented as administered.  On interview, the RN stated the family had requested it not to be given.  The GP had not been contacted or altered the medication order. </w:t>
            </w:r>
          </w:p>
          <w:p w:rsidR="00EB7645" w:rsidRPr="00BE00C7" w:rsidP="00BE00C7">
            <w:pPr>
              <w:pStyle w:val="OutcomeDescription"/>
              <w:spacing w:before="120" w:after="120"/>
              <w:rPr>
                <w:rFonts w:cs="Arial"/>
                <w:b w:val="0"/>
                <w:lang w:eastAsia="en-NZ"/>
              </w:rPr>
            </w:pPr>
            <w:r w:rsidRPr="00BE00C7">
              <w:rPr>
                <w:rFonts w:cs="Arial"/>
                <w:b w:val="0"/>
                <w:lang w:eastAsia="en-NZ"/>
              </w:rPr>
              <w:t>Regular medication was not documented as administered to a resident twice in one day with no reason recorded as to why it was not given.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administration is documented in line with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Storage of food in the kitchen was in line with relevant standards and guidelines including the recording of the temperatures of fridges and freezers containing food.  There was a shortfall in the servery areas where fridge temperatures were not recorded so evidence was lacking that food was safely stored.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temperatures of three servery fridges containing resident food were monitored or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food is stored at the correct temperature and documentation reflects this.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clearly marked containers provided by the chemical supplier with the exception of two containers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Oxygen cylinders had a dedicated storage area within the facility to secure cylinders.  There was a shortfall in securing all cylinders.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 the dementia unit there were two unlabelled containers of chemicals on the cleaner’s trolley. (ii) Three oxygen cylinders were not secured in the storage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chemicals are stored safely.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consent and assessment process of enablers and consent were documented, including the consideration of alternatives.  Family were documented as being part of the process, the documentation of restraint and enabler use and risks associated with its use was not always in place.  Monitoring of restraint and enablers was not always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restraint file in the psychogeriatric unit did not have the bedrail restraint included in the care plan.  One restraint in the hospital had the restraint included in the care plan, but not the risks associated with its use.  The enabler file reviewed in the hospital included the enabler on the care plan, but not the risks associated with its use.  One hospital resident was not monitored according to timeframes and one hospital enabler was not monitored through progress notes as directed by Bupa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document the restraint or enabler in use and the risks associated with their use.  Ensure monitoring is documented as directed.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Whitby Rest Home &amp; Hospital</w:t>
    </w:r>
    <w:bookmarkEnd w:id="58"/>
    <w:r>
      <w:rPr>
        <w:rFonts w:cs="Arial"/>
        <w:sz w:val="16"/>
        <w:szCs w:val="20"/>
      </w:rPr>
      <w:tab/>
      <w:t xml:space="preserve">Date of Audit: </w:t>
    </w:r>
    <w:bookmarkStart w:id="59" w:name="AuditStartDate1"/>
    <w:r>
      <w:rPr>
        <w:rFonts w:cs="Arial"/>
        <w:sz w:val="16"/>
        <w:szCs w:val="20"/>
      </w:rPr>
      <w:t>6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