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Chalmers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Chalmers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September 2016</w:t>
      </w:r>
      <w:bookmarkEnd w:id="7"/>
      <w:r w:rsidRPr="009418D4">
        <w:rPr>
          <w:rFonts w:cs="Arial"/>
        </w:rPr>
        <w:tab/>
        <w:t xml:space="preserve">End date: </w:t>
      </w:r>
      <w:bookmarkStart w:id="8" w:name="AuditEndDate"/>
      <w:r w:rsidR="00A4268A">
        <w:rPr>
          <w:rFonts w:cs="Arial"/>
        </w:rPr>
        <w:t>13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Addition of Hospital services – Medical to the certificate.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Chalmers Elderly Care is part of the Presbyterian Support Central organisation and provides rest home and hospital care for up to 80 residents.  On the day of the audit, there were 60 residents.  </w:t>
      </w:r>
    </w:p>
    <w:p w:rsidRPr="00A4268A">
      <w:pPr>
        <w:spacing w:before="240" w:line="276" w:lineRule="auto"/>
        <w:rPr>
          <w:rFonts w:eastAsia="Calibri"/>
        </w:rPr>
      </w:pPr>
      <w:r w:rsidRPr="00A4268A">
        <w:rPr>
          <w:rFonts w:eastAsia="Calibri"/>
        </w:rPr>
        <w:t xml:space="preserve">The service is managed by an acting facility manager, clinical nurse manager and two clinical coordinators.  The residents and relatives interviewed all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four of seven shortfalls from a previous surveillance audit around complaints management, communicating quality and risk data, medication management, and enablers.</w:t>
      </w:r>
    </w:p>
    <w:p w:rsidRPr="00A4268A">
      <w:pPr>
        <w:spacing w:before="240" w:line="276" w:lineRule="auto"/>
        <w:rPr>
          <w:rFonts w:eastAsia="Calibri"/>
        </w:rPr>
      </w:pPr>
      <w:r w:rsidRPr="00A4268A">
        <w:rPr>
          <w:rFonts w:eastAsia="Calibri"/>
        </w:rPr>
        <w:t xml:space="preserve">Further improvements continue to be required in relation to corrective actions, care plan reviews, and interventions. </w:t>
      </w:r>
    </w:p>
    <w:p w:rsidRPr="00A4268A">
      <w:pPr>
        <w:spacing w:before="240" w:line="276" w:lineRule="auto"/>
        <w:rPr>
          <w:rFonts w:eastAsia="Calibri"/>
        </w:rPr>
      </w:pPr>
      <w:r w:rsidRPr="00A4268A">
        <w:rPr>
          <w:rFonts w:eastAsia="Calibri"/>
        </w:rPr>
        <w:t>This surveillance audit identified that improvements are required in relation to governance, human resource management, assessments, activities and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interviewed report that they are kept informed.  Residents and their family/whānau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acting facility manager, clinical nurse manager and clinical coordinators are responsible for the day-to-day operations.  Goals are documented for the service.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A comprehensive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viewed in resident records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A recreational officer provides an activities programme for the residents.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and care staff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 site.  Food, fridge and freezer temperatures are recorded.  Individual and special dietary needs are catered for.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for the safe assessment, planning, monitoring and review of restraint and enablers.  The service had four residents who voluntarily required enablers and five residents assessed as requiring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are available at the entrance to the facility.  Information about complaints is provided on admission.  Interviews with all six residents (three rest home and three hospital) and all five family members (three rest home and two hospital) confirmed that they understand the complaints process.  They also confirmed that the managers and staff are approachable and readily available if they have a concern.  All complaints received (verbal and written) were logged on the complaints register. The complaints register included all information and correspondence related to each complaint.  Eight complaint files were reviewed.  Timeframes for responding to these complaints were met.  All complaints noted in the complaints register have now been resolved. The previous audit finding related to the complaints register has now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complaints have been lodged since the previous surveillance audit in December 2015 including three complaints made to the DHB and one complaint made to the Health and Disability commission.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follow-up against aspects of a complaint that included communication, adverse event reporting, service provision, assessments and service delivery/interventions.  There were no identified issues in respect of communication and adverse event reporting.  This audit has identified issues with service provision (link 1.3.3.3), assessments (link 1.3.4.2) and service delivery/interventions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The admission pack gives a comprehensive range of information regarding the scope of service provided to the resident and their family on entry to the service and any items they have to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 staff to their responsibility to notify family/next of kin of any accident/incidents and the requirements of full and frank open disclosure.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The care plan records when family wish to be informed of untoward events.  Incident/accident forms include a section to record family notification. Incident/accident forms reviewed evidenced that families were notified following an adverse event and   communication with families/EPOA is also evidenced in the resident’s progress notes.  There was evidence in the resident files of assessment, monitoring, evaluation and communication to families for deteriorating residents.  All five families interviewed (three rest home level, two hospital level) confirmed they were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DHB interpreter services.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Chalmers Elderly Care is owned and operated by Presbyterian Support Central organisation.  The service provides rest home and hospital level care for up to 80 residents.  There are ten dual-purpose beds.  On the day of the audit there were 42 rest home residents (including one resident on an ACC contract, and two residents admitted under the non-aged contract), and 18 hospital residents (including one non-aged and one resident under a long-term chronic health condition contract.)  There were three hospital and five rest home residents in the dual-purpose beds. The service has been verified for hospital – medical care to be added to the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facility manager (RN) has been at the facility since March 2016 and is supported by one clinical nurse manager, one fixed term seconded clinical nurse co-ordinator and two permanent clinical coordinators (rest home and hospital), a regional manager,the PSC clinical director and an Enliven Nurse Consultant. The service’s structure supports the implementation of PSC’s quality management systems and provides ongoing leadership and management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Chalmers Elderly Care has a facility specific business plan which links to the organisation’s strategic plan.  Evidence of a review of the site specific business plan could not be located at audit. </w:t>
            </w:r>
          </w:p>
          <w:p w:rsidR="00EB7645" w:rsidRPr="00BE00C7" w:rsidP="00BE00C7">
            <w:pPr>
              <w:pStyle w:val="OutcomeDescription"/>
              <w:spacing w:before="120" w:after="120"/>
              <w:rPr>
                <w:rFonts w:cs="Arial"/>
                <w:b w:val="0"/>
                <w:lang w:eastAsia="en-NZ"/>
              </w:rPr>
            </w:pPr>
            <w:r w:rsidRPr="00BE00C7">
              <w:rPr>
                <w:rFonts w:cs="Arial"/>
                <w:b w:val="0"/>
                <w:lang w:eastAsia="en-NZ"/>
              </w:rPr>
              <w:t>The acting facility manager has completed a minimum of eight hours of professional development relating to the management of an aged care service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in place.  Interviews with staff (eleven caregivers, two enrolled nurses, two registered nurses, two clinical coordinators, one clinical manager, a cook, a recreational officer, health and safety representative, cleaner and acting facility manager) confirmed their understanding of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documented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A document control system to manage policies and procedures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includes an internal audit programme and data collection, analyses and review of adverse events including accidents, incidents, infections, wounds and pressure areas.  The quality data that is collected is entered on the PSC data base and benchmarked against other facilities in the group. A corrective action process is implemented where opportunities for improvements are identified but not all corrective action plans have been evaluated. The previous audit finding related to corrective action plans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being shared in staff meetings. The previous audit finding related to communication of quality data to staff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policies to guide practice.  Staff accidents and incidents, and identified hazards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analyses of falls and the identification of interventions on a case-by-case basis to minimise future falls.  Selected residents wear hip protectors to reduce injury from falls and sensor mats are in place to reduce the number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by staff who either witnessed an adverse event or were the first to respond.  The resident is reviewed by the RN at the time of the event.  Ten incident forms were reviewed and all were completed appropriately and in a comprehensive manner and the resident’s families/EPOA’s had been advised of the incident.  The five residents’ files reviewed demonstrated all documented accident/incident forms for that resident had the events also documented in the residents’ progress notes and the adverse event had been communicated to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acting facility manager and clinical manager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section 31 notifications have been made since the last audit (two stage-3 pressure injuries, two residents who absconded (link 1.3.6) one allegation of resident abuse prior to admission, one fire in the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(one registered nurse, one clinical manager, one recreational officer, three healthcare assistants, one cook, one cleaner).  The practising certificates for nurses are current. The service also maintains copies of other visiting practitioners practising certificates including GP, pharmacist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files reviewed had signed copies of job descriptions, and completed orientation documentation. The service has developed and implemented an orientation process for bureau staff.  All files reviewed had signed copies of employment agreements.  Annual performance appraisals are required for all staff.  Shortfalls were noted with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For those staff members who are unable to attend education, a competency is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registered nurses including (but not limited to); medication, restraint,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Sufficient staff are rostered to manage the care requirements of the residents (link 1.3.7.1).  At least one registered nurse is on site at any one time.  A recreation officer is available five days a week.  Extra staff can be called on for increased resident requirements.  Interviews with staff, residents and family members identify that staffing is adequate to meet the care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(five rest home and five hospital).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The required reconciliation of all new medication, and the checks required before medication was administered to residents, was completed.  Registered nurses interviewed were able to describe their role in regard to medicine administration.  Standing orders are not used.  There was one resident self-medicating on the day of audit and the required assessments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moved to an electronic/computer based medication management system.  There are currently upgrades being undertaken to the Wi-Fi set up so that connectivity to the system is more reliable.  Currently the medication charts generated by this system are being printed out and used to administer medications from. The signing sheets are also paper based.   All medication charts sampled met legislative prescribing requirements and ‘as required’ medication had indications for use charted.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a corrective action plan in place to address previous shortfalls they had noted with medication management with a reduction in medication errors noted. The previous audit finding related to medication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Chalmers are prepared and cooked on site.  There is a four weekly seasonal menu, which had been reviewed by a dietitian.  Meals are delivered to the dining areas.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This standard was reviewed as requested by the MOH in response to the complaint received via the Health and Disability commission (link 1.1.13).  Files sampled indicated that all appropriate personal needs information is gathered during admission, in consultation with the resident and their relative where appropriate.  The service has implemented a corrective action plan to address shortfalls they identified with the completion of InterRAI assessments. In the files reviewed, InterRAI assessments were completed and when there was a change to a resident’s health condition (link 1.3.3.3).  InterRAI and risk assessments did not fully inform all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 care assistants follow the care plan and report progress against the care plan each shift at handover.  If external nursing or allied health advice is required, the RNs will initiate a referral (eg, to the district nurses, hospice nurses or the mental health nurses).  If external medical advice is required, this will be actioned by the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in treatment rooms.  There is evidence of GP and specialist involvement in wounds/pressure areas. The RNs have access to specialist nursing wound care management advice through the district nursing service and the DHB wound CNS.  On the day of audit, there were nine wounds. In the rest home, there were four skin tears, and one chronic ulcer, and in the hospital, there were two skin tears, one lesion and one abrasion.  There were no pressure injuries on the day of audit.  Not all wound care documentation was complete. The previous audit finding related to wound care documentation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were commenced with a change in heath condition and transferred to the long-term care plan if the condition became chronic.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Care plan interventions did not always describe the interventions required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pressure injury prevention interventions such as two 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corrective action plans in place to address shortfalls they have identified in relation to care planning and documenting interventions, with improvements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the risks associated with enablers was not fully completed. The previous audit finding related to interventions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one recreational officer working 25 hours per week to run the programme, which covers 5 days per week.  The service is actively recruiting to cover the vacancy left by recent resignations.  Board games, movies and magazines are made available for the residents to access over the weekends.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developed monthly and displayed in large print.  The service receives feedback and suggestions for the programme through one-on-one feedback from residents and monthly bimonthly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delivered, however the current programme is very limited and residents interviewed reported dissatisfaction with the programme.  Church services are offered weekly and there are occasional guest speakers.  On the day of audit, residents were observed at newspaper reading.  There were shortfalls in the documentation related to activities and not all individual activity plans are updated in the required timeframes (link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resources available for staff to use for one-on-one time with the residents and for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reported the activities programme was limited.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were documented and evaluated by the RN within three weeks of admission.  In the files reviewed, long-term care plans had been reviewed, but not all updated with a change in health condition.  The GP reviews the residents at least three monthly or earlier if required.  Evidence of three monthly GP reviews were seen in all residents’ files sampled.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18 October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The surveillance data is entered into the PSC organisational-wide database and benchmarked against other PSC sites.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and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restraint minimisation and safe practice policies applicable to the service.  Guidelines for the use of restraint ensures that enablers are voluntary, the least restrictive option and allows residents to maintain their independence.  There is a restraint and enabler register.  There are currently five hospital residents using restraint and four hospital residents with enablers.  Documentation was reviewed for four enablers and evidenced assessment, authorisation, and consent. The previous finding relating to consent for enablers has been met, however not all care plans were fully documented and the required monitoring was not occurring (link 1.3.6.1).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990"/>
        <w:gridCol w:w="3150"/>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Chalmers has a business plan which is linked to the organisations overall plan business/strategic plan. The plan was reviewed in December 2015; however, a copy of the reviewed plan could not be located.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site-specific business plan reviewed in December 2015 could not be located during the audit.  No ongoing review of the site specific 2016-2017 business plan has been conducted.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site-specific business plan is reviewed according to the PSC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plan has been documented and implemented where areas for improvement have been identified.  The corrective actions required are then communicated to staff.  Corrective action plans for internal audits have not been fully evaluated or signed off when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documented following internal audits for medication management, weight management and wound care were not evaluated.  Corrective action plans were not updated when changes were made to the actions required.  Not all corrective action plans completed had been signed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developed, implemented and signed off where opportunities for improvements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is completed by all new staff.  Five of eight staff files have the required orientation documentation. Staff are required to sign a job description before they commence employment which covers the accountabilities and requirements of the role.  Five of eight staff files reviewed have a signed job description.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eight files sampled did not evidence the orientation/induction programme had been completed; 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of eight files reviewed did not have a signed job description.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staff complete the required orientation; and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staff have a signed job description.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policy requires that all staff have an annual performance appraisal.  A recent internal HR audit identified a number or shortfalls in the personnel files and a corrective action plan is in progress.  Annual performance appraisals had not been completed for staff who had been employed for longer than 12 months.  In the files sampled, six staff had worked longer than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staff files had no evidence of an annual performance review and two of six staff had completed a performance review 6-9 months past their 12-month anniversary.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have an annual performance appraisal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initial assessments and an initial care plan on admission.  In the files sampled InterRAI assessments where completed for all residents requiring an InterRAI assessment.  Four of five residents had been reviewed with the InterRAI tool six monthly.  Long-term care plans were documented within three weeks for four of five residents.  Long-term care plans had been reviewed six monthly for three of six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recreational officer completes an initial assessment on admission in consultation with the resident (where appropriate) and the family/whānau and develops a recreational care plan for each resident.  Three of five recreational care plans had been evaluated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Three of four residents using an enabler had been reviewed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five files sampled (rest home) did not have the InterRAI assessment reviewed at least 6 monthly.</w:t>
            </w:r>
          </w:p>
          <w:p w:rsidR="00EB7645" w:rsidRPr="00BE00C7" w:rsidP="00BE00C7">
            <w:pPr>
              <w:pStyle w:val="OutcomeDescription"/>
              <w:spacing w:before="120" w:after="120"/>
              <w:rPr>
                <w:rFonts w:cs="Arial"/>
                <w:b w:val="0"/>
                <w:lang w:eastAsia="en-NZ"/>
              </w:rPr>
            </w:pPr>
            <w:r w:rsidRPr="00BE00C7">
              <w:rPr>
                <w:rFonts w:cs="Arial"/>
                <w:b w:val="0"/>
                <w:lang w:eastAsia="en-NZ"/>
              </w:rPr>
              <w:t>ii)  One of five (rest home) long-term care plans was not documented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of five care plans sampled (rest home) had not had all sections of the care plan reviewed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Two of five files (one hospital one rest home) had not had the long-term care plan reviewed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v)  Two of five (rest home) recreational care plans had not been updated or reviewed at the time the long-term care plan was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One of four residents using an enabler had not had the enabler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InterRAI assessments and long-term care plans are completed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iii-iv)  Ensure that all sections of the long-term care are evaluated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the recreational care plan is updated at least six monthly in conjunction with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Ensure that all enablers in use are reviewed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responsible for all aspects of care provision. Timely follow by a registered nurse following an acute change in health condition was not always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follow up by an RN for one hospital resident noted in the progress notes by an HCA, to have a possible pressure injury on the elbow. The area was subsequently assessed as not to be a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timely follow up by a registered nurse for any reported change in heath condition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undertakes the InterRAI assessment and any other appropriate assessment to inform the development of the care plan. Three of five resident care plans had been developed on the basis of the information gathered through the InterRAI assessment process.  Pain assessments were not completed for two residents with chronic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five (hospital) resident files sampled had an InterRAI assessment completed after the long-term care plan was developed.  </w:t>
            </w:r>
          </w:p>
          <w:p w:rsidR="00EB7645" w:rsidRPr="00BE00C7" w:rsidP="00BE00C7">
            <w:pPr>
              <w:pStyle w:val="OutcomeDescription"/>
              <w:spacing w:before="120" w:after="120"/>
              <w:rPr>
                <w:rFonts w:cs="Arial"/>
                <w:b w:val="0"/>
                <w:lang w:eastAsia="en-NZ"/>
              </w:rPr>
            </w:pPr>
            <w:r w:rsidRPr="00BE00C7">
              <w:rPr>
                <w:rFonts w:cs="Arial"/>
                <w:b w:val="0"/>
                <w:lang w:eastAsia="en-NZ"/>
              </w:rPr>
              <w:t>ii) Regular pain assessments were not documented for one hospital and one rest home resident with chronic pain on regular analgesics.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InterRAI assessments are completed and used to inform the development of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pain assessments are completed for all residents with pain.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through the use of assessments, monitoring charts observations, and interviews to develop the care plan.  Five of five resident files reviewed did not include all documented interventions for identified care needs and not all interventions documented had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in use (bedrails) are documented in the resident’s care plan. Risks associated with the use of the enablers or the care of the resident whilst using an enabler had not been documented for four residents with enablers.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Interventions are not documented in sufficient detail to guide the care staff in the care that is required for:  a) One hospital resident with swallowing difficulties.  b) One rest home resident with schizoid disorder and metastatic disease. c) One hospital resident with Type 2 diabetes; and d) one rest home resident with a history of wandering and who has a tracking device, is on opioid analgesia for pain, and has a history of constipation.</w:t>
            </w:r>
          </w:p>
          <w:p w:rsidR="00EB7645" w:rsidRPr="00BE00C7" w:rsidP="00BE00C7">
            <w:pPr>
              <w:pStyle w:val="OutcomeDescription"/>
              <w:spacing w:before="120" w:after="120"/>
              <w:rPr>
                <w:rFonts w:cs="Arial"/>
                <w:b w:val="0"/>
                <w:lang w:eastAsia="en-NZ"/>
              </w:rPr>
            </w:pPr>
            <w:r w:rsidRPr="00BE00C7">
              <w:rPr>
                <w:rFonts w:cs="Arial"/>
                <w:b w:val="0"/>
                <w:lang w:eastAsia="en-NZ"/>
              </w:rPr>
              <w:t>ii) Three of nine wounds (one rest home two hospital) did not have initial wound care assessments documented and five wound evaluations did not document an assessment of the wound with each dressing change.</w:t>
            </w:r>
          </w:p>
          <w:p w:rsidR="00EB7645" w:rsidRPr="00BE00C7" w:rsidP="00BE00C7">
            <w:pPr>
              <w:pStyle w:val="OutcomeDescription"/>
              <w:spacing w:before="120" w:after="120"/>
              <w:rPr>
                <w:rFonts w:cs="Arial"/>
                <w:b w:val="0"/>
                <w:lang w:eastAsia="en-NZ"/>
              </w:rPr>
            </w:pPr>
            <w:r w:rsidRPr="00BE00C7">
              <w:rPr>
                <w:rFonts w:cs="Arial"/>
                <w:b w:val="0"/>
                <w:lang w:eastAsia="en-NZ"/>
              </w:rPr>
              <w:t>iii) Four of four enabler care plans (hospital) reviewed did not document interventions to manage the risks associated with the use of the enabler and the monitoring requirements documented in the enabler care plans were not being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interventions documented in the short-term care plan for one rest home resident requiring food and fluid monitoring had not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there are interventions documented for all identified care needs and the interventions documented provide enough detail to guide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wounds have an initial assessment documented and wound evaluations are documented with each dressing change.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interventions to manage the risks associated with the use of the enabler are documented in the care plan and the monitoring required is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all interventions documented in the care plan are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officer works 25 hours per week. The role currently includes the transportation of residents to and from the day programme and serving of am and pm tea. Volunteers provide four hours support to the programme per week.  The recreational officer completes an initial assessment of the resident on admission and then completes a recreational plan for the resident.  In the files reviewed, not all residents had a documented recreational plan.  The published weekly programme is very limited and repetitious (newspaper reading and cross words 5 days per week, balloon bash, book club, hand massage and bingo, one arts and crafts session and watching the Olympics).  The residents and families interviewed expressed dissatisfaction with the current variety and cognitive challenge of the group and individual programmes.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are insufficient hours rostered to provide a meaningful recreation programme for group activities and to meet the individualised needs of 60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current recreational programme does not meet the cognitive, physical, intellectual and emotional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of five files sampled (hospital) had no individualised recreation plan documented. </w:t>
            </w:r>
          </w:p>
          <w:p w:rsidR="00EB7645" w:rsidRPr="00BE00C7" w:rsidP="00BE00C7">
            <w:pPr>
              <w:pStyle w:val="OutcomeDescription"/>
              <w:spacing w:before="120" w:after="120"/>
              <w:rPr>
                <w:rFonts w:cs="Arial"/>
                <w:b w:val="0"/>
                <w:lang w:eastAsia="en-NZ"/>
              </w:rPr>
            </w:pPr>
            <w:r w:rsidRPr="00BE00C7">
              <w:rPr>
                <w:rFonts w:cs="Arial"/>
                <w:b w:val="0"/>
                <w:lang w:eastAsia="en-NZ"/>
              </w:rPr>
              <w:t>iv) One of five activity files reviewed (rest home) did not have a recreational plan documented to meet the specific individualised needs of a resident with mental health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are sufficient hours rostered to deliver an individualised and group programme that meets the recreational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recreational programme content meets cognitive, physical, intellectual and emotional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residents have an individualised recreational programme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iv) Ensure that the individualised recreational programmes have interventions documented that are appropriate and meet the specific individualised needs of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updating the care plan when there has been a change in health condition. The service has identified there are shortfalls in the evaluations of the care plans and InterRAI assessments and has implemented a corrective action to address this.  Care plans reviewed on the day of audit evidenced that three of five care plans had been updated when the residents condition changed.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 was not updated following a change in health condition for one rest home resident who documented an advanced directive, and one hospital resident with a healed stage-3 pressure injury and a healed fracture.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long-term care plan is updated with any change to health condition.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Chalmers</w:t>
    </w:r>
    <w:bookmarkEnd w:id="58"/>
    <w:r>
      <w:rPr>
        <w:rFonts w:cs="Arial"/>
        <w:sz w:val="16"/>
        <w:szCs w:val="20"/>
      </w:rPr>
      <w:tab/>
      <w:t xml:space="preserve">Date of Audit: </w:t>
    </w:r>
    <w:bookmarkStart w:id="59" w:name="AuditStartDate1"/>
    <w:r>
      <w:rPr>
        <w:rFonts w:cs="Arial"/>
        <w:sz w:val="16"/>
        <w:szCs w:val="20"/>
      </w:rPr>
      <w:t>12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