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Althorp</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Althorp</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August 2016</w:t>
      </w:r>
      <w:bookmarkEnd w:id="7"/>
      <w:r w:rsidRPr="009418D4">
        <w:rPr>
          <w:rFonts w:cs="Arial"/>
        </w:rPr>
        <w:tab/>
        <w:t xml:space="preserve">End date: </w:t>
      </w:r>
      <w:bookmarkStart w:id="8" w:name="AuditEndDate"/>
      <w:r w:rsidR="00A4268A">
        <w:rPr>
          <w:rFonts w:cs="Arial"/>
        </w:rPr>
        <w:t>9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Radius Althorp has been owned and operated by Radius Residential Care Limited since October 2015 and cares for up to 117 residents requiring dementia, hospital (medical and geriatric) or specialist hospital (psychogeriatric) level care.  On the day of the audit there were 108 residents.  The service is managed by a registered nurse with experience in aged care management.  She is supported by a Radius regional manager and a clinical manager.  Residents and the GP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This audit has identified areas for improvement around wound reviews, aspects of medication management and restraint monitoring.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facility manager and clinical manager are responsible for day-to-day operations.  Goals are documented for the service with evidence of regular reviews.  A quality and risk management programme is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Registered nursing cover is provided 24 hours a day, 7 days a week.  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Entry to the service is managed primarily by the registered nurses, team leaders and clinical nurse manager.  There is comprehensive service information available.  Initial assessments are completed by a registered nurse.  Care plans and evaluations are completed by the registered nurses within the required timeframes.  Care plans are written in a way that enables all staff to clearly follow their instructions.  Each resident has access to an individual and group activities programme.  The group programme is varied and interesting.  Medication is stored appropriately in line with legislation and guidelines.  Staff have had education around medication management and all staff who administer medications have completed a competency assessment.  General practitioners review residents at least three monthly or more frequently if needed.  Meals are prepared on site.  The menu is varied and appropriate.  Individual and special dietary needs are catered for.  Alternative options are able to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bedrooms are single occupancy and have their own ensuite.  There is sufficient space to allow the movement of residents around the facility using mobility aids.  There are a number of small lounge and dining areas throughout the facility in addition to its main communal areas in each wing.  The internal areas are able to be ventilated and heated.  The outdoor areas are safe and easily accessible and secure for the wings that require this.  Cleaning and maintenance staff are providing appropriate services. </w:t>
      </w:r>
    </w:p>
    <w:p w:rsidRPr="00A4268A">
      <w:pPr>
        <w:spacing w:before="240" w:line="276" w:lineRule="auto"/>
        <w:rPr>
          <w:rFonts w:eastAsia="Calibri"/>
        </w:rPr>
      </w:pPr>
      <w:r w:rsidRPr="00A4268A">
        <w:rPr>
          <w:rFonts w:eastAsia="Calibri"/>
        </w:rPr>
        <w:t xml:space="preserve">There is an emergency management plan in place and adequate civil defence supplies in the event of an emergency.  There is an approved evacuation scheme and emergency supplies for at least three days.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for the safe assessment and review of restraint and enabler use.  The restraint coordinator maintains a register.  During the audit, one resident was using a restraint and four residents were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06"/>
        <w:gridCol w:w="1280"/>
        <w:gridCol w:w="102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Althorp policies and procedures are being implemented that align with the requirements of the Code of Health and Disability Services Consumers’ Rights (the Code).  Families and residents are provided with information on admission, which includes information about the Code.  Staff receive training about resident rights at orientation and as part of the annual in-service programme.  Interviews with eight care staff (five who work in the hospital, two who work across all areas and one who works in the psychogeriatric unit), nine registered nurses (five who work in the hospital, including the clinical coordinator and four who work in the psychogeriatric unit, including the clinical coordinator, the diversional therapist and the assistant facility coordinator), confirmed their understanding of the Code.  Ten residents (all hospital level of care including one palliative care, two on transitional acute care contracts, one younger person with a disability and one with a long term chronic health condition) and seven relatives (three hospital, one dementia and three psychogeriatric) interviewed confirmed that staff respect privacy, and support residents in making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The resident or their EPOA signs written consents.  Advanced directives are signed for separately.  There was evidence of discussion with family when the GP completed a clinically indicated not for resuscitation order.  Healthcare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of eleven resident files sampled (four from the psychogeriatric, five from the hospital and two from dementia rest home) had a signed admission agreement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are aware of their right to access independent advocacy services.  Discussions with relatives confirmed the service provided opportunities for the family/EPOA to be involved in decisions.  The resident files sampled included information on residents’ family/whānau and chosen social networks.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Advocacy service has been present at the two most recent family meetings and one resident had been supported by an advocate from this service when making a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The activities programme includes opportunities to attend events outside of the facility.  Relatives and friends are encouraged to be involved with the service and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at the entrance to the facility, next to the suggestions box.  Information about complaints is provided on admission.  Interviews with residents and relatives confirmed their understanding of the complaints process.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register includes complaints received, dates and actions taken.  The facility manager signs off each complaint when it is closed.  Complaints are being managed in a timely manner, meeting requirements determined by the Health and Disability Commissioner (HDC).  There is evidence of lodged complaints being discussed in the quality meetings and staff meetings (where applicable).  Twenty-seven complaints have been received in 2016.  Two complaints (for the same resident) included the involvement of HDC Advocacy Services, and are closed.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information pack given to prospective residents and families that includes information about the Code and the nationwide advocacy service.  There is the opportunity to discuss aspects of the Code during the admission process.  Residents and relatives interviewed confirmed that information had been provided to them around the Code.  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were areas that support personal privacy for residents.  During the audit, staff were observed to be respectful of residents’ privacy by knocking on doors prior to entering resident rooms.  Staff could describe definitions around abuse and neglect that aligned with policy.  Residents and relatives interviewed confirmed that staff treat residents with respect.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preferences are identified during the admission and care planning process and this includes family involvement.  Interviews with residents confirmed their values and beliefs were considered.  Interviews with HCAs described how choice is incorporated into resident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Māori health plan policy for the organisation, references local Māori healthcare providers regionally within New Zealand and provides recognition of Māori values and beliefs.  Family/whānau involvement is encouraged in assessment and care planning, and visiting is encouraged.  Links are established with disability and other community representative groups as requested by the resident/family.  Cultural needs are addressed in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 planning meeting is carried out where the resident and/or whānau as appropriate, are invited to be involved.  Individual beliefs or values are discussed and incorporated into the care plan.  Six monthly multi-disciplinary team meetings occur to assess if needs are being met.  Family are invited to attend.  Discussions with relatives confirmed that residents’ values and beliefs are considered.  Residents interviewed confirmed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The monthly staff (team) meetings include discussions around professional boundaries and concerns as they arise.  Management provided guidelines and examples of mentoring for specific situations.  Interviews with the managers and care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aligned with current accepted best practice.  The content of policy and procedures are sufficiently detailed to allow effective implementation by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in-service training programme is implemented as per the training plan with training for registered nurses from the DHB.  Radius has provided a Radius roving clinical manager to support the clinical manager and registered nurses since June 2016 and a roving facility manager since May 2016 to support the manager.  Outcomes for the service are monitored with benchmarking across all Radius facilities.  Feedback is provided to staff via the various meetings and through graphs and notices on the noticeboard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minimum of one registered nurse on each shift in the hospital and in the psychogeriatric area, and HCAs are described by residents and family as caring.  The service has worked to actively introduce Radius systems and procedures since Radius purchased the facility nine months prior to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accident/incident reporting policy to guide staff in their responsibility around open disclosure.  Staff are required to record family notification when entering an incident into the system.  All 20 adverse events reviewed met this requirement when notification was appropriate.  Family members interviewed confirmed they are notified following a change of health status of their family member.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frequent family/resident meetings in 2016 and regular resident meetings where issues can be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Althorp is a Radius aged care facility located in Tauranga.  The facility is certified to provide hospital (medical and geriatric); dementia and psychogeriatric care for up to 117 residents.  It was purchased by Radius in October 2015.  Radius has decided to no longer accept dementia level residents.  Existing dementia level residents (seven) have been placed in one of the psychogeriatric wings.  This mixed co-location has been approved by Mental Health Services for Older People (MHSOP), the rationale being that mixing functional capabilities can improve outcomes for the appropriate individuals (evidenced in an email from BOP Portfolio Manager, dated 8 August 2016).</w:t>
            </w:r>
          </w:p>
          <w:p w:rsidR="00EB7645" w:rsidRPr="00BE00C7" w:rsidP="00BE00C7">
            <w:pPr>
              <w:pStyle w:val="OutcomeDescription"/>
              <w:spacing w:before="120" w:after="120"/>
              <w:rPr>
                <w:rFonts w:cs="Arial"/>
                <w:b w:val="0"/>
                <w:lang w:eastAsia="en-NZ"/>
              </w:rPr>
            </w:pPr>
            <w:r w:rsidRPr="00BE00C7">
              <w:rPr>
                <w:rFonts w:cs="Arial"/>
                <w:b w:val="0"/>
                <w:lang w:eastAsia="en-NZ"/>
              </w:rPr>
              <w:t>Residents living at the facility during the audit totalled 107.  Fifty-two residents were at hospital level of care, seven at dementia level of care and forty-eight at psychogeriatric level of care.  There were two residents (hospital level) under the young persons with disability contract; one resident (hospital level) under the chronic health long-term support contract; two residents (hospital level) under the DHB funded palliative care contract, one resident (hospital level) under the DHB funded respite contract and two residents (hospital level) under the DHB funded transitional acute care contract.  Nine beds (hospital level) are dedicated to the DHB contract.  The DHB funded respite bed for dementia level of care was unoccupied.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describes the vision, values and objectives of Radius Althorp.  Goals are linked to the business plan.  Goals are reviewed a minimum of three-monthly and the business plan is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with eight years of aged care experience and four years in operational and facility management roles.  She has been in the role since February 2016 and is supported by a regional manager.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of professional development activities related to managing an aged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manager/RN covers during the temporary absence of the facility manager.  For extended absences, Radius has interim (roving) facility managers who cover facility manager absences.  The regional manager is available on consultative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regional manager.  Discussions with the managers (regional manager, facility manager and clinical manager/RN),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meetings are at least two-monthly.  Minutes are maintained.  Annual resident and relative surveys are planned for October 2016.</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clinical managers group with input from facility staff reviews the service’s policies at a national level every two years.  Clinical guidelines are in place to assist care staff.  Updates to policies included procedures around the implementation of InterRAI and health and safety to the new Act.</w:t>
            </w:r>
          </w:p>
          <w:p w:rsidR="00EB7645" w:rsidRPr="00BE00C7" w:rsidP="00BE00C7">
            <w:pPr>
              <w:pStyle w:val="OutcomeDescription"/>
              <w:spacing w:before="120" w:after="120"/>
              <w:rPr>
                <w:rFonts w:cs="Arial"/>
                <w:b w:val="0"/>
                <w:lang w:eastAsia="en-NZ"/>
              </w:rPr>
            </w:pPr>
            <w:r w:rsidRPr="00BE00C7">
              <w:rPr>
                <w:rFonts w:cs="Arial"/>
                <w:b w:val="0"/>
                <w:lang w:eastAsia="en-NZ"/>
              </w:rPr>
              <w:t>The quality monitoring programme is designed to monitor contractual and standards compliance and the quality of service delivery in the facility and across the organisation.  There are clear guidelines and templates for reporting.  The facility has implemented established processes to collect, analyse and evaluate data, which is utilised for service improvements to a standard that exceeds the requirements.  Results are communicated to staff in meetings and on staff noticeboards.  Corrective action plans are implemented when opportunities for improvements are identified (eg, internal audit results are lower than 95%).  Corrective actions are signed off when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by the health and safety committee.  Two health and safety representatives (facility manager and maintenance staff) and the regional manager were interviewed about the health and safety programme.  One maintenance staff member has completed external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Radius has achieved tertiary level ACC WSMP.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with a recent quality initiative called the “Watch Lounge Trial” whereby two HCAs are designated watcher’s in the psychogeriatric units.  Falls have decreased over the past two months although they remain above the Radius benchmark.  Prevention strategies are implemented when a resident has two or more falls.  Strategies include sensor mats, perimeter mattresses and impact mats.  Residents at risk of falling are also placed on a toileting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incident/accident reporting policy that includes definitions and outlines responsibilities including immediate action, reporting, monitoring, corrective action to minimise and debriefing.  Individual incident/accident reports are completed for each incident/accident with immediate action noted and any follow-up action required.  They are signed off by the clinical manager when complete.</w:t>
            </w:r>
          </w:p>
          <w:p w:rsidR="00EB7645" w:rsidRPr="00BE00C7" w:rsidP="00BE00C7">
            <w:pPr>
              <w:pStyle w:val="OutcomeDescription"/>
              <w:spacing w:before="120" w:after="120"/>
              <w:rPr>
                <w:rFonts w:cs="Arial"/>
                <w:b w:val="0"/>
                <w:lang w:eastAsia="en-NZ"/>
              </w:rPr>
            </w:pPr>
            <w:r w:rsidRPr="00BE00C7">
              <w:rPr>
                <w:rFonts w:cs="Arial"/>
                <w:b w:val="0"/>
                <w:lang w:eastAsia="en-NZ"/>
              </w:rPr>
              <w:t>A review of twenty accident/incident forms identified that forms are fully completed and include follow-up by a registered nurse.  Accident/incident forms are completed when a pressure injury is identified.  Neurological observations are done two hourly for any suspected injury to the head.  The clinical manager is involved in the adverse event process.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regional manager were able to identify situations that would be reported to statutory authorities including (but not limited to) infectious diseases, serious accidents and unexpected death.  Toi Te Ora Public Health were notified during a gastro outbreak (24 December 2015).  A section 31 report was sighted for one grade-three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There has been a 50% turnover rate since Radius purchased the facility in October 2015.  Seventy-three staff have been recruited since the purchase with only seven of the new staff resigning (96% retention rate).  Families interviewed commented on the high turnover of staff.</w:t>
            </w:r>
          </w:p>
          <w:p w:rsidR="00EB7645" w:rsidRPr="00BE00C7" w:rsidP="00BE00C7">
            <w:pPr>
              <w:pStyle w:val="OutcomeDescription"/>
              <w:spacing w:before="120" w:after="120"/>
              <w:rPr>
                <w:rFonts w:cs="Arial"/>
                <w:b w:val="0"/>
                <w:lang w:eastAsia="en-NZ"/>
              </w:rPr>
            </w:pPr>
            <w:r w:rsidRPr="00BE00C7">
              <w:rPr>
                <w:rFonts w:cs="Arial"/>
                <w:b w:val="0"/>
                <w:lang w:eastAsia="en-NZ"/>
              </w:rPr>
              <w:t>Thirteen staff files reviewed (four RNs, eight HCAs, one cleaner)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These competencies are scheduled to be repeated annually.  Fifty HCAs are employed to work in the psychogeriatric wings with thirty-eight having completed their dementia qualification.  Twelve HCAs are in the process of completing their qualification and have been employed for less than one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Six registered nurses have completed their InterRAI training, one is in training and seven are on the waiting list.  There are implemented competencies for registered nurses including (but not limited to) medication competencies and insulin competencies.  </w:t>
            </w:r>
          </w:p>
          <w:p w:rsidR="00EB7645" w:rsidRPr="00BE00C7" w:rsidP="00BE00C7">
            <w:pPr>
              <w:pStyle w:val="OutcomeDescription"/>
              <w:spacing w:before="120" w:after="120"/>
              <w:rPr>
                <w:rFonts w:cs="Arial"/>
                <w:b w:val="0"/>
                <w:lang w:eastAsia="en-NZ"/>
              </w:rPr>
            </w:pPr>
            <w:r w:rsidRPr="00BE00C7">
              <w:rPr>
                <w:rFonts w:cs="Arial"/>
                <w:b w:val="0"/>
                <w:lang w:eastAsia="en-NZ"/>
              </w:rPr>
              <w:t>Performance appraisals are scheduled for September – November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is in place for determining staffing levels and skills mix for safe service delivery.  Rosters implement the staffing rationale.  There is a minimum of one RN and one EN covering the four PG wings (all in very close proximity) and two RN covering the hospital wings.  They are supported by a clinical coordinator and a clinical manager.  Activities are provided five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attending to call bells in a timely manner.  Staff interviewed stated that overall the staffing levels are satisfactory and that the managers provide good support.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there are sufficient staff numbers although family have expressed some concerns.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were appropriate to the service type.  Residents entering the service have all relevant initial information recorded within 24 hours of entry into the resident’s individual record.  Information containing personal resident information is kept confidential and cannot be viewed by other residents or members of the public.  Residents’ files are protected from unauthorised access.  Entries are legible, dated and signed by the relevant HCA or nurse including designation.  Residents’ files demonstrate service integration.  A locked room stores archived residents’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pack outlining services able to be provided, the admission process and entry to the service.  The clinical nurse manager screens all potential residents prior to entry and records all admission enquires.  The admission agreement form in use aligns with the requirements of the ARC and ARHSS contract.  Exclusions from the service are included in the admission agreement.  The information provided at entry includes examples of how services can be accessed that are not included in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interviewed confirmed they were kept well informed about all matters pertaining to residents, especially if there is a change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policies and procedures comply with medication legislation and guidelines.  Medicines are appropriately stored in accordance with relevant guidelines and legislation.  Medication administration practice complied with the medication management policy for the medication rounds sighted.  Medication prescribed is not always signed as administered on the pharmacy generated signing chart.  Registered nurses administer medicines.  All staff that administer medication are competent and have received medication management training.  The facility uses a robotics pack medication management system for the packaging of all tablets.  The RN on duty reconciles the delivery and documents this.  The 22 medication charts sampled, were written correctly by medical practitioners and there was evidence of three monthly reviews by the GP.  One resident self-administered medicines and was competent to do so.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fully functional kitchen and a contracted company cooks all food on site.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require special diets and the kitchen manager works closely with the RNs on duty.  The kitchen staff have completed food safety training.  The kitchen manager and cooks follow a rotating seasonal menu, which has been reviewed by a dietitian.  The temperatures of refrigerators, freezers and cooked foods are monitored and recorded.  There is special equipment available for residents if required.  All food is stored appropriately.  Residents and the family members interviewed were very happy with the quality and variety of food served.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units have a variety of food available over the 24-hour period and staff reported the kitchen manager is very responsive to special requests.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decision to potential residents/family/whānau.  Anyone declined entry is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where appropriate.  InterRAI assessments were completed and were reviewed at least six monthly or when there was a change to a resident’s health condition in files sampled.  Care plans reviewed have been developed on the basis of these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and identified allied health involvement under a comprehensive range of template headings.  Residents and their family/whānau are involved in the care planning and review process.  Short-term care plans reviewed were in use for changes in health status.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team leaders, clinical manager and healthcare assistants follow the care plan and report progress against the care plan each shift.  If external nursing or allied health advice is required the RNs will initiate a referral (eg, to the district nurse).  If external medical advice is required, this will be actioned by the GP.  Staff have access to sufficient medical supplies (eg,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were in place for 25 residents with 48 wounds including 12 pressure areas (two acquired prior to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wounds had been reviewed within the stated timeframes.  The RNs have access to specialist nursing wound care management advice through the district nursing service. </w:t>
            </w:r>
          </w:p>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including intentional rounding and food and fluid charts demonstrate interventions to meet residents’ needs.  All two hourly turning charts consistently document two hourly turns.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diversional therapist leads the activities team, which includes a further four activities coordinators.  All members of the activities team work 30 hours per week and provide programmes in different units from Monday to Friday.  One activities coordinator covers two of the 15 bed dementia/psychogeriatric units and another, the other two psychogeriatric units.  Activities in the two units that share an activities coordinator are often combined.  One activities coordinator provides activities in the McLeod hospital wings and another in the Reuben hospital wing.  Each resident has an individual activities assessment on admission and from this information an individual activities plan is developed as part of the care plan by the registered nurses, with input from the activities staff.  Each resident is free to choose whether they wish to participate in the group activities programme or their individual plan.  Participation is monitored.  Group activities reflect ordinary patterns of life and include planned visits to the community.  All long-term resident files sampled have a recent activities plan within the care plan and this is evaluated at least six monthly when the care plan is evaluated.  Dementia and psychogeriatric unit files sampled included appropriate activities to manage behaviour over the 24-hour period.  Each wing has a 24-hour activity box that HCAs use to engage residents in activities when the activities staff are not present.  The HCA orientation process includes time with the diversional therapist who provides information around engaging residents in activities.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evaluate all initial care plans within three weeks of admission.  The long-term care plan is evaluated at least six monthly or earlier if there is a change in health status.  There is at least a three monthly review by the GP.  All changes in health status are documented and followed up.  Care plan reviews are signed by an RN.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nurses initiate referrals to nurse specialists and allied health services.  Other specialist referrals are made by the GPs.  Referrals and options for care were discussed with the family as evidenced in interviews and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in two sections – one hospital and one containing the dementia/psychogeriatric units.  The hospital service is provided from three wings over two floors and the psychogeriatric/dementia service is provided from four 15-bed wings in very close proximity (link 1.2.1 about the mixed co-location of dementia and psychogeriatric level residents in one 15-bed wing).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number of alcoves and lounge areas in each wing.  There is a full-time and a part-time maintenance person employed to address the reactive and planned maintenance programme.  All medical and electrical equipment was recently serviced and/or calibrated and hoists and electric beds serviced.  Hot water temperatures are monitored and managed within 43-45 degrees Celsius.  The facility has sufficient space for residents to mobilise using mobility aids.  The external area is well maintained.  Each psychogeriatric/dementia unit has a separate secure garden area and a walking path around the unit perimeter.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in the facility have a full ensuite large enough to cater for hospital level residents and the associated equipment and staff.  Additionally there are communal toilets near each lounge and separate toilets for staff and visitors.  Communal toilets have privacy systems in place.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including those required by hospital level care residents.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communal areas include the open plan main lounge/dining area (with a kitchenette in the hospital wings) and several smaller lounges in each wing.  The communal areas are easily and safely accessible for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cleaned by dedicated cleaning staff.  They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laundry is carried out in the on-site commercial laundry by dedicated laundry staff that cover 15 hours per day.  Residents and relatives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 and disaster manuals to guide staff in managing emergencies and disasters.  There is a minimum of one first aid trained staff member on every shift and during outings.  The facility has an approved fire evacuation plan.  Fire drills take place every six months (last July 2016).  Smoke alarms, sprinkler system and exit signs are in place.  A generator is available in the event of a power failure.  Emergency lighting is in place, which is regularly tested.  A civil defence kit is in place.  Supplies of stored water (in tanks on the site) and food are held on site and are adequate for three days.  Electronic call bells are evident in resident’s rooms, lounge areas, and toilets/bathrooms.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kept locked from dusk to dawn.  The village on the same site has regular drive-bys by a security company and evening and night staff complete security checks.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Althorp has an established infection control programme.  The infection control programme, its content and detail, is appropriate for the size, complexity and degree of risk associated with the service.  It is linked into the incident reporting system and the Radius KPIs.  A registered nurse (the psychogeriatric unit clinical coordinator) is the designated infection control nurse with support from the facility manager, clinical manager, the quality management committee and the infection control team.  Minutes are available for staff of quality meetings and infection control meetings (three monthly).  Audits have been conducted and include hand hygiene and infection control practices.  Education is provided for all new staff on orientation.  The Radius infection control programme was last reviewed in July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Althorp is the designated infection control (IC) nurse.  There are adequate resources to implement the infection control programme for the size and complexity of the organisation.  The IC nurse and IC team (comprising of representatives from different departments)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recent on-line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Radius’ infection control manual.  Monthly infection data is collected for all infections based on signs and symptoms of infection.  An individual resident infection form is completed which includes signs and symptoms of infection, treatment, follow-up, review and resolution.  Short-term care plans are used.  Surveillance of all infections is entered onto a monthly infection summary.  This data is monitored and evaluated monthly and annually, and provided to Radius head office.  Infections are part of the key performance indicators.  Outcomes and actions are discussed at quality meetings and infection control meetings, and placed on the staffroom noticeboard.  If there is an emergent issue, it is acted upon in a timely manner.  Reports are easily accessible to the acting facility manager.  A norovirus outbreak in December 2015 appeared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designated restraint coordinator.  Restraint practices are only used where it is clinically indicated and justified and other de-escalation strategies have been ineffective.  Restraint minimisation policies and procedures are comprehensive, and include definitions, processes and use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(hospital level) residents using enablers and one (psychogeriatric level) resident using restraint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file of a resident using an enabler (bedrails) was reviewed.  The resident gave written consent for the use of bedrails.  The enabler was linked to the resident’s care plan and was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in place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(clinical manager)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assessment tool is completed for residents requiring an approved restraint for safety.  Assessments are undertaken by the restraint coordinator, in partnership with the RNs, GP, resident and their family/whānau.  Restraint assessments are based on information in the care plan, resident/family discussions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Ongoing consultation with the resident and family/whānau are evident.  The file for the (psychogeriatric level) resident using restraint was reviewed.  The completed assessment considered those listed in 2.2.2.1 (a) - (h).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is linked to the resident’s restraint care plan.  An internal restraint audit, conducted six-monthly,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episode of restraint is monitored at pre-determined intervals depending on individual risk to that resident.  Consistent evidence to verify two hourly checks was missing on the monitoring forms for the resident using restraint. </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is in place providing an auditable record of restraint use and is completed for residents requiring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conducted three-monthly and include family, evidenced in one resident file where restraint was in use.  The restraint coordinator reported that restraint use is also discussed monthly in the restraint meeting.  This was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Radius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21"/>
        <w:gridCol w:w="1280"/>
        <w:gridCol w:w="2419"/>
        <w:gridCol w:w="1437"/>
        <w:gridCol w:w="13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practice complied with the medication management policy for the medication rounds sighted.  Medication prescribed is signed as administered on the pharmacy generated signing chart but not all prescribed medication had been signed as administered.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22 medication charts sampled did not have all prescribed medication recorded as administered.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prescribed medications administered are recorded in the medication signing chart.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nurses, the clinical manager and team leaders demonstrated an understanding of the assessment, monitoring and wound management plans.  All wounds had an appropriate assessment and plan but not all had been reviewed when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48 wounds documented had not been reviewed within the stated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wounds are reviewed within the stated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use is scheduled to be monitored at a frequency determined by the restraint assessment.  Evidence of two hourly monitoring for one resident using a chair brief as a restraint was not being documented in a consistent manner.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Consistent evidence to verify two-hourly monitoring for one resident using a chair brief as a restraint was missing.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monitoring forms are completed accurately and reflect staff checking residents during restraint use at a frequency determined by each resident’s restraint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Althorp</w:t>
    </w:r>
    <w:bookmarkEnd w:id="58"/>
    <w:r>
      <w:rPr>
        <w:rFonts w:cs="Arial"/>
        <w:sz w:val="16"/>
        <w:szCs w:val="20"/>
      </w:rPr>
      <w:tab/>
      <w:t xml:space="preserve">Date of Audit: </w:t>
    </w:r>
    <w:bookmarkStart w:id="59" w:name="AuditStartDate1"/>
    <w:r>
      <w:rPr>
        <w:rFonts w:cs="Arial"/>
        <w:sz w:val="16"/>
        <w:szCs w:val="20"/>
      </w:rPr>
      <w:t>8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