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Cambridge Oakdale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Cambridge Oakdale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August 2016</w:t>
      </w:r>
      <w:bookmarkEnd w:id="7"/>
      <w:r w:rsidRPr="009418D4">
        <w:rPr>
          <w:rFonts w:cs="Arial"/>
        </w:rPr>
        <w:tab/>
        <w:t xml:space="preserve">End date: </w:t>
      </w:r>
      <w:bookmarkStart w:id="8" w:name="AuditEndDate"/>
      <w:r w:rsidR="00A4268A">
        <w:rPr>
          <w:rFonts w:cs="Arial"/>
        </w:rPr>
        <w:t>31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Cambridge Oakdale provides residential care for up to 47 residents who require hospital, rest home, and dementia level care. The facility is operated by The Ultimate Care Group Limited.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are seven areas requiring improvement relating to reporting of quality improvement data to staff; orientation of staff; on-going education and restraint competency assessments; storage of archived documents; resident documentation including assessments; multidisciplinary meetings; the management of weight loss; access to the van for residents who have limited mobility; and aspects of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organisation provides services that reflect current accepted good practice.  Families and residents interviewed state they are aware of and have access to information around consumer rights including the Health and Disability Commissioner’s (HDC) Code of Health and Disability Services Consumers’ Rights (the Code).  Information is provided in the information pack for residents and admission agreements.</w:t>
      </w:r>
    </w:p>
    <w:p w:rsidRPr="00A4268A">
      <w:pPr>
        <w:spacing w:before="240" w:line="276" w:lineRule="auto"/>
        <w:rPr>
          <w:rFonts w:eastAsia="Calibri"/>
        </w:rPr>
      </w:pPr>
      <w:r w:rsidRPr="00A4268A">
        <w:rPr>
          <w:rFonts w:eastAsia="Calibri"/>
        </w:rPr>
        <w:t xml:space="preserve">There were no residents who identified as Maori at the time of the audit.  The service providers report that there are no known barriers to Maori residents accessing the service.  Services are planned to provide and promote individual culture, values and beliefs of each resident.  Signed consent forms were sighted in all residents’ files reviewed and obtained from residents’ family/whanau, enduring power of attorney (EPOA) or appointed guardians, as required  </w:t>
      </w:r>
    </w:p>
    <w:p w:rsidRPr="00A4268A">
      <w:pPr>
        <w:spacing w:before="240" w:line="276" w:lineRule="auto"/>
        <w:rPr>
          <w:rFonts w:eastAsia="Calibri"/>
        </w:rPr>
      </w:pPr>
      <w:r w:rsidRPr="00A4268A">
        <w:rPr>
          <w:rFonts w:eastAsia="Calibri"/>
        </w:rPr>
        <w:t>Complaints management is undertaken according to policy to ensure response timeframes are met. At the time of audit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systems are fully implemented at Ultimate Care Cambridge Oakdale and include a documented scope, direction, goals, values, and a mission statement. Systems are in place for monitoring the service, including regular reporting by the facility manager to head office.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manager/registered nurse.  The clinical manager is responsible for oversight of the clinical service in the facility. </w:t>
      </w:r>
    </w:p>
    <w:p w:rsidRPr="00A4268A">
      <w:pPr>
        <w:spacing w:before="240" w:line="276" w:lineRule="auto"/>
        <w:rPr>
          <w:rFonts w:eastAsia="Calibri"/>
        </w:rPr>
      </w:pPr>
      <w:r w:rsidRPr="00A4268A">
        <w:rPr>
          <w:rFonts w:eastAsia="Calibri"/>
        </w:rPr>
        <w:t>Quality and risk management systems are in place.  There is an internal audit programme and an up to date hazard register.  Adverse events are documented on accident/incident forms.  Internal audits, accident/incident forms and meeting minutes evidenced corrective action plans are developed, implemented, monitored and signed off as being completed to address the issue/s that require improvement.  Quality, staff and health and safety meetings are held on a regular basic. There is reporting on various clinical indicators, quality and risk issues and discussion of any trends identified at the health and safety meetings.</w:t>
      </w:r>
    </w:p>
    <w:p w:rsidRPr="00A4268A">
      <w:pPr>
        <w:spacing w:before="240" w:line="276" w:lineRule="auto"/>
        <w:rPr>
          <w:rFonts w:eastAsia="Calibri"/>
        </w:rPr>
      </w:pPr>
      <w:r w:rsidRPr="00A4268A">
        <w:rPr>
          <w:rFonts w:eastAsia="Calibri"/>
        </w:rPr>
        <w:t>Policies and procedures on human resources management are in place and processes are followed. There are current annual practising certificates for health professionals who require them.  An in-service education programme is provided for staff and the majority of staff have commenced or completed the New Zealand Qualifications Authority Unit Standards.  Individual education records are on staff files.</w:t>
      </w:r>
    </w:p>
    <w:p w:rsidRPr="00A4268A">
      <w:pPr>
        <w:spacing w:before="240" w:line="276" w:lineRule="auto"/>
        <w:rPr>
          <w:rFonts w:eastAsia="Calibri"/>
        </w:rPr>
      </w:pPr>
      <w:r w:rsidRPr="00A4268A">
        <w:rPr>
          <w:rFonts w:eastAsia="Calibri"/>
        </w:rPr>
        <w:t>There is a documented rationale for determining staffing levels and the skill mix in order to provide safe service delivery that is based on best practice. The facility manager and clinical manager are rostered on call after hours. Care staff reported there are adequate staff available and that they are able to get through their work. Residents and families reported there are enough staff on duty to provide adequate care.</w:t>
      </w:r>
    </w:p>
    <w:p w:rsidRPr="00A4268A">
      <w:pPr>
        <w:spacing w:before="240" w:line="276" w:lineRule="auto"/>
        <w:rPr>
          <w:rFonts w:eastAsia="Calibri"/>
        </w:rPr>
      </w:pPr>
      <w:r w:rsidRPr="00A4268A">
        <w:rPr>
          <w:rFonts w:eastAsia="Calibri"/>
        </w:rPr>
        <w:t>Consumer information management systems meet the required standards.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timely, competent, and appropriate services in order to meet their assessed needs. The processes for assessment, planning, provision, evaluation, review, and exit are provided within time frames that safely meet the needs of the resident and meet funder/contractual requirements. The service is coordinated in a manner that promotes continuity in service delivery and promotes a team approach to care delivery. </w:t>
      </w:r>
    </w:p>
    <w:p w:rsidRPr="00A4268A" w:rsidP="00621629">
      <w:pPr>
        <w:spacing w:before="240" w:line="276" w:lineRule="auto"/>
        <w:rPr>
          <w:rFonts w:eastAsia="Calibri"/>
        </w:rPr>
      </w:pPr>
      <w:r w:rsidRPr="00A4268A">
        <w:rPr>
          <w:rFonts w:eastAsia="Calibri"/>
        </w:rPr>
        <w:t xml:space="preserve">Residents are admitted by a qualified and trained registered nurse who completes an initial assessment and then develops a care plan specific to the resident. This is developed with the resident, family and existing community supports and health care professionals. When there are changes to the resident’s needs a short term plan is developed and integrated into a long term plan, as needed.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The service provides planned activities programmes in the rest home, hospital and dementia unit. The activities are provided to develop and maintain skills and interests that are meaningful to the resident. Family involvement was demonstrated in the activities.  </w:t>
      </w:r>
    </w:p>
    <w:p w:rsidRPr="00A4268A" w:rsidP="00621629">
      <w:pPr>
        <w:spacing w:before="240" w:line="276" w:lineRule="auto"/>
        <w:rPr>
          <w:rFonts w:eastAsia="Calibri"/>
        </w:rPr>
      </w:pPr>
      <w:r w:rsidRPr="00A4268A">
        <w:rPr>
          <w:rFonts w:eastAsia="Calibri"/>
        </w:rPr>
        <w:t xml:space="preserve">There are processes in place for a safe medicine management system. Staff responsible for medicine management have been assessed as competent to perform the function for each stage they manage. </w:t>
      </w:r>
    </w:p>
    <w:p w:rsidRPr="00A4268A" w:rsidP="00621629">
      <w:pPr>
        <w:spacing w:before="240" w:line="276" w:lineRule="auto"/>
        <w:rPr>
          <w:rFonts w:eastAsia="Calibri"/>
        </w:rPr>
      </w:pPr>
      <w:r w:rsidRPr="00A4268A">
        <w:rPr>
          <w:rFonts w:eastAsia="Calibri"/>
        </w:rPr>
        <w:t xml:space="preserve">The residents were highly satisfied with the meal services. The menu has been reviewed by a dietitian as suitable for the older person living in long term care.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Double and single accommodation is provided in the dementia unit and all bedrooms in the hospital and rest home areas are single. Full ensuites are provided. Adequate numbers of additional bathrooms and toilets are available. Residents' rooms have personal space provided. There are a number of lounges, dining areas and alcoves. External areas for sitting and shading are provided. There are secure external areas in the dementia unit for residents to access.  </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Cleaning and laundry systems, including appropriate monitoring is undertaken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are currently no residents using restraint or enablers. Discussion relating to restraint and enablers is included in the registered nurse meetings.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6"/>
        <w:gridCol w:w="1280"/>
        <w:gridCol w:w="9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in line with the Health and Disability Commissioner’s (HDC) Code of Health and Disability Services Consumers’ Rights (the Code).  New residents and families are provided with a copy of the Code on admission and a copy is displayed on the main corridor wall in full view for residents,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van trips (please refer to criterion 1.3.7) and the attending of different community churches and special events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is responsible for complaint management and there are systems in place to manage this process. The FM reported there have not been any complaints since the previous audit and the complaints register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The FM advised if there are complaints made, these are reported at the quality and staff meetings. Minutes show complaint management is included as an agenda item on the meeting minute’s template.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there have been no investigations by the Health and Disability Commissioner, the Ministry of Health, the District Health Board, the Accident Compensation Corporation,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that were interviewed reported that the Code was explained to them on admission. Family/whanau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reflected that residents received services that were specific and individual to their needs, values and beliefs of culture, religion and ethnicity.  The families/whanau interviewed reported that the staff are meeting the needs of their relatives and that their relative was treated in a manner that showed regard for the resident’s dignity, privacy and independence.  At the time of the audit staff were seen to knock on residents’ doors and await a response before entering. The use of occupied signs on the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clinical manager reported that there are no barriers to Maori accessing the service. At the time of the audit there were no Maori residents whom affiliated with their Maori culture. The caregivers interviewed demonstrated good understanding of practices that identified the needs of the Maori resident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facility manager, registered nurses, caregivers and in care planning.  Policies and procedures are linked to evidence-based practice. There are regular visits by residents’ GP’s, links with the mental health services, the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  The July 2016 satisfaction survey stated that relatives were overall satisfied to very satisfied with communication from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relatives who do not speak English are advised of the availability of an interpreter at the first point of contact with staff.  At the time of audit all residents spoke English and two residents had identified English as their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Limited (UCG) is the governing body and is responsible for the service provided.  There are established systems in place which defines the scope, direction and goals of the organisation and UCG facilities, as well as the monitoring and reporting processes against these systems. An organisational flowchart shows the structure and reporting lines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A Business Plan and a Quality and Risk Management Plan for Ultimate Care Cambridge Oakdale (Oakdale) includes a mission statement, core values, goals and objectives, quality indicators, quality projects and scope of service.  Values, a mission statement and philosophy are displayed. The service philosophy is in an understandable form and is available to residents and their family / representative or other services involved in referring clients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provides reports to UCG head office on a weekly and monthly basis via an electronic system.  Reports include reporting on quality and risk management issues, occupancy, HR issues, quality improvements and internal audit outcomes, incidents/accidents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and a clinical manager (CM).  Both managers are registered nurses with current practising certificates.  The FM has a number of years’ experience in the aged care sector and has been in the current position since 2007.  The clinical manager (CM), who is responsible for oversight of the clinical care of residents has been in their role for eight years. The FM reported a new clinical services manager has been employed and they start early in September. The new CSM who is a registered nurse is currently managing a facility in the region and has experience in managing residents who require dementia level care. The current CM will change their role to an RN rostered on shifts. Review of the managers' personal files and interview of the FM and CM indicated the managers undertake education in relevant areas. The regional operations manager for UCG provides support for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'Ultimate Care Group Clinical Advisory Group' (CAG) in place that has four clinical services managers (CSMs) who are responsible for reviewing clinical issues and with non-clinical staff, policies and procedures following feedback from each of the UCG sites.  Each of the four CSMs are responsible for liaising with the UCG sites to ensure their participation in the process.  </w:t>
            </w:r>
          </w:p>
          <w:p w:rsidR="00EB7645" w:rsidRPr="00BE00C7" w:rsidP="00BE00C7">
            <w:pPr>
              <w:pStyle w:val="OutcomeDescription"/>
              <w:spacing w:before="120" w:after="120"/>
              <w:rPr>
                <w:rFonts w:cs="Arial"/>
                <w:b w:val="0"/>
                <w:lang w:eastAsia="en-NZ"/>
              </w:rPr>
            </w:pPr>
            <w:r w:rsidRPr="00BE00C7">
              <w:rPr>
                <w:rFonts w:cs="Arial"/>
                <w:b w:val="0"/>
                <w:lang w:eastAsia="en-NZ"/>
              </w:rPr>
              <w:t>Oakdale is certified to provide hospital, rest home and dementia level care.  On day one of this audit there were six hospital residents, 24 rest home residents and eight residents requiring dementia level care. One wing with 15 beds has been approved by the Ministry of Health as dual purpose bedrooms providing either hospital or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are informed of the scope of services and any liability for payment for items that are not included in the scope of services.  This is included in the service agreement and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manager deputises. When the clinical manager is absent, the facility manager with support from the registered nurses takes responsibility for clinical over sight. The facility manager and the clinical manager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and includes goals and objectives.  There was evidence that quality improvement data is collected, collated, and analysed to identify trends and improve service delivery. Corrective action plans are being developed, implemented and reviewed. There is an internal audit programme and completed audits for 2016 were reviewed.  The collated resident and family satisfaction survey for 2016 indicated that residents and families are satisfied or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reported to UCG head office electronically. Minutes for the health and safety monthly meetings evidenced reporting to staff who attend these meetings. Quality, registered nurse, and general staff meetings are also held on a regular basis. The FM reported clinical indicators are discussed at these meetings if there is a reason, such as an increase in the number of falls. Staff were vague when asked at interview and the quality and staff meeting minutes did not evidence reporting back to staff.  Graphs and benchmarking data was evidenced in a folder and the FM and staff reported it is available to read. The FM advised they plan to recommence posting the graphs on the notice board in the staff room.  Resident meetings are held three monthly and residents confirmed any issues raised are dealt with by the FM.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policies and procedures are fully implemented at Oakdale, and are relevant to the scope and complexity of the service, reflect current accepted good practice, and references legislative requirements.  Policies and procedures have been reviewed and are current.  Staff confirmed they were required to read and sign off on all the new policies and procedures.  Staff also confirmed they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hazard register identified health and safety risks as well as risks associated with human resource management, legislative compliance, contractual risks and clinical risk.  A health and safety manual includes relevant policies and procedures and a hazard flow chart to guide staff through the process. An activities coordinator is one of two health and safety representatives and they have attended education relating to the new health and safety legislation. Interview of one the health and safety representatives confirmed their knowledge.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incident/accident form which are then entered in to the UCG electronic database and held in the residents’ files. Data includes summaries and registers of various clinical indicators including, but not limited to, falls, medication errors, unintentional weight loss, skin tears, and behaviour. Documentation reviewed and interviews of staff evidenced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Communication with families following adverse events involving the resident, or any change in the resident’s condition was documented in the residents’ files.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and other documentation confirmed this. The FM reported there have been no essential notifications made to the Ministry of Health or any other authority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relating to human resources management. Job descriptions outline accountability, responsibilities and authority. Employment agreements, reference checks and police vetting were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is the responsibility of the facility manager. Interview of the FM and review of education records evidenced the quarterly study day covering a wide variety of subjects, was last provided in May 2015 and the next one not until August 2016, when 12 staff attended. Staff interviewed confirmed that the study days had only just re-commenced.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difficult to evidence staff education because there was no overall record of staff attendance and competences. Individual attendance records were not up to date and the FM reported the in-service folder for 2015 had gone with the previous owners of the facility. The FM advised education modules via New Zealand Qualifications Authority Unit Standards had been put on hold, however this is to restart on September including the dementia specific module. Apart from three, all staff working in the dementia unit have commenced or completed the dementia specific modules. Education on medicines has been provided by the pharmacist and competency assessments are current for staff who are responsible for medicine management. There was no evidence of current restraint competency assessments.  Some staff have attended external education. The FM advised on line education for staff will be introduced this year.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orientation/induction programme and all new staff are required to complete this prior to their commencement of care to residents. The entire orientation process, including completion of competencies, takes up to three months to complete and staff performance is reviewed at the end of this period. Essential components of the service are covered at orientation. Care staff confirmed they have completed an orientation, however not all staff files reviewed had evidence of an orientation.</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 Three of the six registered nurses have completed the interRAI education and their competency is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and is calculated electronically.  The minimum number of staff is provided during the night shift and consists of one registered nurse and one caregiver in the hospital/rest home areas and one caregiver in the dementia unit.  The facility manager and clinical manager are on call after hours.  Care staff reported there were adequate staff available and that they were able to complete the work allocated to them.  Residents and families interviewed reported there was enough staff on duty that provided them or their relative with adequate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name and date of birth and national health index (NHI) are used as the unique identifier on all residents’ information sighted. Clinical notes were current and integrated with medical and auxiliary staff notes. The current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on site for seven years.  No personal or private resident information was observed to be on public display during the days of audit within the facility. The outside storage shed for archived files was observed as unlocked and the archived boxes sitting on the floor of the shed were damp.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Staff contact the clinical manager if enquiries are made by potential perspective residents and/or their family members and if outside working hours, staff are guided by facility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no residents were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rooms which is locked when not occupied. A locked safe is used for controlled medications and the medicine register was sighted.  Medications that require refrigeration are stored in two separate fridges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charting and management system. The 14 medicine charts sighted have been reviewed by the GP every three months and this is  recorded on the medicine charts.  All prescriptions sighted contained the date, medicine name, dose and time of administration. All medicine charts have each medicine individually prescribed and ‘as required’ (PRN) medications, however not all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designated care staff responsible for medicine management.  The registered nurse administering medicines in the rest home at the time of audit was observed to administer to two residents the correct prescribed medication however the medication was evidenced as prescribed for another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week rotating menu that has been reviewed by a dietitian. 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also offers residents a variety of cereals for breakfast, a main option for lunch including a desert and a lighter menu option for dinner also supporting individual residents with different food needs.  All main meals are supported by morning and afternoon tea which includes home baking.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for the rest home and hospital residents are cooked and served directly from the kitchen and served in the adjacent dining room.  A hot plate is used to transport meals to the dementia unit.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electronic interRAI assessment and specific assessment tools for all residents remain paper based.  Assessments are carried out by a registered nurse appropriate to the level of care of the resident and includes falls, skin integrity, and challenging behaviour, nutritional needs, continence, and communication, end of life, self-medication and pain assessments.  The interRAI assessment is also utilised when a change of level in care is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clinical manager, registered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diversional therapist and activities coordinator adapts activities to meet the needs and preference of choices/cultural preferences of the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in the rest home/hospital has a diversional therapist who works Monday – Friday, a total of 40 hours per week and attends education/support group sessions related to his role. The dementia unit is supported by an activities co-ordinator who works Monday - Friday, a total of 40 hours per week. The weekly activities plan/calendar sighted is developed based on the resident’s individual needs and interests and can be easily adapted and changed depending on the resident’s physical ability, interest and reaction at the time. The activities staff advertises the upcoming activities on the calendar by providing this to residents on the notice boards through the facility. Regular activities include daily newspaper reading and exercises, church services, regular visiting entertainment, Ladies and Men’s clubs.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promote social interaction by inviting and encouraging all residents to join in activities together in the main lounges.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 however residents interviewed at audit and documentation observed in a recent survey and resident’s meetings, stated that they struggle to get in and out of the van when on outings, and some residents are unable to partake in this activity.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documented in the care plans reviewed.  Residents whose health status changes, and/or are not responding to the services/interventions being delivered, are discussed with their GP and family/whanau.  Short term care plans are sighted for wound care and incidents.  The medical and nursing assessments of these short term care plans are documented in the residents’ progress notes including evaluations of infections.  The caregivers interviewed demonstrated good knowledge of short term care plans and reported that they are reported and discussed at handover. (Refer criterion 1.3.3.3)</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11 GPs and associated locums whom combined visit the residents at the facility which also includes an on call component.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are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rooms and laundry that is appropriate to recognised risks.  Protective clothing was observed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are appropriate systems in place to ensure the residents’ physical environment and facilities are fit for their purpose. Residents confirmed they are able to move freely around the facility and that the accommodation meets their needs. Families of residents with dementia confirmed the dementia unit has lots of space for their relative to enjoy.</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 high standard.  Maintenance is currently undertaken by a maintenance person. The testing and tagging of electrical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with a safe, secure external environment for residents in the dementia unit.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have full ensuites in the rest home/hospital areas, apart from one.  There are adequate numbers of additional bathrooms and toilets throughout the facility. There are appropriate numbers of bathrooms and toilets situated in the dementia unit. Residents and families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for residents and staff to move around within the bedrooms safely.  There are double bedrooms in the dementia unit and families of these residents sharing a room have consented to this via the resident’s admission agreement.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areas for residents to frequent for activities, dining, relaxing and for privacy.  Residents, family and staff confirmed these areas are easily accessed. Furniture is appropriate to the setting and arranged in a manner which enables residents to mobilise freely. The large lounge has been divided by arranging seating furniture in a way that makes for a number of different areas for residents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Residents and family reported the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education.  A cleaner confirmed this.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There is an evacuation policy on emergency and security situations that covers all service groups at the facility.  A fire drill takes place six-monthly.  The orientation programme includes fire and security education.  Staff confirmed their awareness of emergency procedures. All required fire equipment was sighted on the day of audit and all equipment had been checked within required timeframes. The maintenance person advised emergency lighting is provided by a battery operated system.</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They are also made aware of any hazards on site. The external doors are locked in the evenings.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heat pumps in the dementia unit, thermostatically controlled electric heaters in the dual purpose area and ceiling heating in the rest home area.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is the infection control coordinator and is responsibility for following the programme as defined in the infection control manual.  Infections are monitored by using standardised definitions to identify infections, surveillance, observing changes in behaviours, monitoring of organisms related to antibiotic use and the monthly surveillance record.  Infection control is discussed at health and safety meetings, however is not discussed at staff meetings (please refer to criterion 1.2.3.6).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documented in progress notes and families/next of kin (NOK) are informed.  Staff interviewed state that they are alerted to any concerns and are included in the management of reducing and minimising risk of infection, the staff communication book, one to one, at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manager/registered nurse has the role of infection prevention and control coordinator.  Infection control issues are discussed at staff handover.  The facility has the support of a clinical infection control specialist nurse who is available for advice on infection prevention. Advice can also be sought from different external sources including the laboratory diagnostic services and GPs.  The infection control coordinator regularly attends infection control education sessions.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antibiotic use, methicillin-resistant Staphylococcus aureus (MRSA) screening, bandaging,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were able to demonstrate good infection prevention and control techniques and awareness of standard precautions, such as hand washing.  Hand washing technique of staff is reviewed regularly by the registered nurse.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urinary tract infections, respiratory infections, gastro enteritis, eye, ear, mouth, nose, systemic, skin and soft tissue wounds, pressure injuries.  Antibiotic use is also monitored.  The monthly analysis of the infections includes comparison with the previous month, reason for increase or decrease, trends and actions taken to reduce infections.  An external contractor benchmarks surveillance data with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was an increase in urinary infections in January and February 2016.  Four of the six residents are identified as having multiple infections due to their chronic medical history.  Care planning and intervention/evaluation was evidenced in progress notes and long term care plans to show how staff were reducing and minimising risk, trends and actions to take to reduce the infection rate for these residents.  Two of the six identified residents no longer reside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no residents using restraint or enablers. The FM reported restraint has not been used since 2014. The restraint/enabler register confirms this. Documentation including policy and procedures are available for staff should restraint be required. The FM is the restraint coordinator and demonstrated good knowledge relating to restraint minimisation. Staff were knowledgeable about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906"/>
        <w:gridCol w:w="2137"/>
        <w:gridCol w:w="15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being collected, collated, analysed to identify trends and evaluated. Minutes of the health and safety meetings evidenced this data is being reported back to those staff who attend these meetings and the health and safety presentative confirmed this. Minutes of the general staff and quality meetings do not evidence reporting of quality improvement data. The facility manager reported they do discuss any increases in the clinical indicators at the meetings, however, staff were vague when interviewed and reported they used to see graphs posted on the notice 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the health and safety meeting minutes, there was no documented evidence that quality improvement data is being reported back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quality improvement data is reported back to all staff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had completed an orientation and could demonstrate what was covered in their orientation. Four of the eight files reviewed did not have evidence of an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eight staff files reviewed had no evidence of a completed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to have evidence of a completed orientation held on their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gaps in the on-going education programme. The programme covers a wide variety of core and other subjects, is delivered via four study days per year and staff are required to attend one of these. The last study say was held in May 2015 and not again until August 2016 when 12 staff attended. There has been other education provided this year including medication, pressure injury, palliative care, hoists, fire safety and continence management. The auditor found it difficult to ascertain exactly what staff had attended education and when, as there is no overall record of staff education and competences held. Individual attendance records are not up to date and the 2015 education folder was not available. Current medicine competencies were sighted for all staff responsible for medicine management. There was no evidence of current competencies for restraint on seven of the eight files reviewed. The one staff member who had a current competency was part of their recent orientation. The FM reported three of the staff working in the dementia unit have not commenced the dementia specific modules and advised this will commence in September. Staff interviewed confirmed there have been gaps with the quarterly study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On-going education via study days has not been consistent and as a result there are staff who have not received all ongoing education as required. Because the individual records of staff education are not up to date and the 2015 education folder is no longer available, it was difficult to ascertain what staff had attended education and when.</w:t>
            </w:r>
          </w:p>
          <w:p w:rsidR="00EB7645" w:rsidRPr="00BE00C7" w:rsidP="00BE00C7">
            <w:pPr>
              <w:pStyle w:val="OutcomeDescription"/>
              <w:spacing w:before="120" w:after="120"/>
              <w:rPr>
                <w:rFonts w:cs="Arial"/>
                <w:b w:val="0"/>
                <w:lang w:eastAsia="en-NZ"/>
              </w:rPr>
            </w:pPr>
            <w:r w:rsidRPr="00BE00C7">
              <w:rPr>
                <w:rFonts w:cs="Arial"/>
                <w:b w:val="0"/>
                <w:lang w:eastAsia="en-NZ"/>
              </w:rPr>
              <w:t>(ii)Three care staff working in the dementia unit have not commenced the specific dementia education. It is acknowledged that they will be starting in September.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(iii)There was no evidence of current competency assessments for restraint on seven of the eight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On-going education is to be provided to all staff on a regular basis. (ii) All care staff who work in the dementia unit are to have completed the dementia unit standards no later than 12 months after their appointment. (iii) All clinical staff are to have a current competency assessment for restraint minimisation and safe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time of audit current files were observed being kept secure and only accessible to authorised people, however outside storage of archived files was not secure or protected from the environment.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outside storage shed was observed to be unlocked.  The archived boxes with residents’ archived files were directly placed on top of each other and damp, as they have direct contact with floor of the storage shed.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consumer information is stored in a secure location, is easily accessible when required, and protected from the risk of damage to documents.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charts have each medicine individually prescribed including PRN medications., However not all PRN medications had the reason stated for the use of that medication. There are documented competences sighted for designated care staff responsible for medicine management. The registered nurse was observed administering to two rest home residents the correct prescribed medication, however, the medication administered was evidenced as prescribed for another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27 medication charts did not have the reason for use of prescribed PRN medications. A registered nurse was observed giving two rest home residents medication from another resident’s prescribed medication bottle.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who are responsible for medicine management are required to meet the requirements of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identify the residents’ specific and individual needs.  A review of seven residents’ files was undertaken and shows that the initial assessment, long term care plans, interRAI social profile and activities assessment, evaluation and review are undertaken within required timeframes. Short term care plans were evidenced for wounds and incidents.  Documentation was evidenced in progress notes, however short term care plans were not completed to support infections and weight loss.  No multidisciplinary meetings were documented to meet required DHB timeframes and contractual requirements and the organisation’s policies and procedures.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six of the seven files reviewed, no infection identification forms or supporting short term care plans were completed.  Four of the seven files reviewed did not evidence multidisciplinary meetings.  Four of seven files evidenced residents with weight loss, however no short term care plans or discussions with GP was evident.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each stage of service provision is undertaken to meet DHB contractual requirements and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stated they enjoy interacting at different events within the community, however residents stated that they are restricted due to their ability to get in and out of the facility van.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staff discussions/feedback have stated there are residents with reduced/limited mobility who are unable to access the facility van, and thus access to events in the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availability of access for all residents when using the facility van to support involvement in community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Cambridge Oakdale</w:t>
    </w:r>
    <w:bookmarkEnd w:id="58"/>
    <w:r>
      <w:rPr>
        <w:rFonts w:cs="Arial"/>
        <w:sz w:val="16"/>
        <w:szCs w:val="20"/>
      </w:rPr>
      <w:tab/>
      <w:t xml:space="preserve">Date of Audit: </w:t>
    </w:r>
    <w:bookmarkStart w:id="59" w:name="AuditStartDate1"/>
    <w:r>
      <w:rPr>
        <w:rFonts w:cs="Arial"/>
        <w:sz w:val="16"/>
        <w:szCs w:val="20"/>
      </w:rPr>
      <w:t>30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