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Franklin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Franklin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August 2016</w:t>
      </w:r>
      <w:bookmarkEnd w:id="7"/>
      <w:r w:rsidRPr="009418D4">
        <w:rPr>
          <w:rFonts w:cs="Arial"/>
        </w:rPr>
        <w:tab/>
        <w:t xml:space="preserve">End date: </w:t>
      </w:r>
      <w:bookmarkStart w:id="8" w:name="AuditEndDate"/>
      <w:r w:rsidR="00A4268A">
        <w:rPr>
          <w:rFonts w:cs="Arial"/>
        </w:rPr>
        <w:t>31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Franklin Village (Oceania Care Company Limited) can provide care for up to 44 residents. 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Occupancy on the day of the audit was 43. The service provides rest home, hospital and dementia care.</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regional and executive management team. Service delivery is monitored. The service met all the Health and Disability Service Standards.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is accessible. This information is given to residents and their family on admission to the facility. Residents and family members confirm their rights are met, staff are respectful of their needs and communication is appropriate. </w:t>
      </w:r>
    </w:p>
    <w:p w:rsidRPr="00A4268A">
      <w:pPr>
        <w:spacing w:before="240" w:line="276" w:lineRule="auto"/>
        <w:rPr>
          <w:rFonts w:eastAsia="Calibri"/>
        </w:rPr>
      </w:pPr>
      <w:r w:rsidRPr="00A4268A">
        <w:rPr>
          <w:rFonts w:eastAsia="Calibri"/>
        </w:rPr>
        <w:t>Residents, families and enduring power of attorney are provided with information required prior to giving informed consent. Time is provided if any discussions and explanation are required relating to the Health and Disability Commissioner's Code of Health and Disability Services Consumers' Rights (the Code).</w:t>
      </w:r>
    </w:p>
    <w:p w:rsidRPr="00A4268A">
      <w:pPr>
        <w:spacing w:before="240" w:line="276" w:lineRule="auto"/>
        <w:rPr>
          <w:rFonts w:eastAsia="Calibri"/>
        </w:rPr>
      </w:pPr>
      <w:r w:rsidRPr="00A4268A">
        <w:rPr>
          <w:rFonts w:eastAsia="Calibri"/>
        </w:rPr>
        <w:t>A complaints register is maintained. Complaints are managed as per timeframes in the Health and Disability Commissioner (HDC) Code of Health and Disability Services Consumers' Rights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Care Company Limited is the governing body and is responsible for the service provided at Franklin Village. The business and care manager is qualified and experienced. The business and care manage is supported by the clinical leader who are responsible for oversight of clinical care. Oceania Care Company Limited has a documented quality and risk management system that supports the provision of clinical care at the service. Policies are reviewed at support office and are current.</w:t>
      </w:r>
    </w:p>
    <w:p w:rsidRPr="00A4268A">
      <w:pPr>
        <w:spacing w:before="240" w:line="276" w:lineRule="auto"/>
        <w:rPr>
          <w:rFonts w:eastAsia="Calibri"/>
        </w:rPr>
      </w:pPr>
      <w:r w:rsidRPr="00A4268A">
        <w:rPr>
          <w:rFonts w:eastAsia="Calibri"/>
        </w:rPr>
        <w:t>Quality and risk performance is reported through meetings at the facility and monitored by the organisation's management team through the business status reports.</w:t>
      </w:r>
    </w:p>
    <w:p w:rsidRPr="00A4268A">
      <w:pPr>
        <w:spacing w:before="240" w:line="276" w:lineRule="auto"/>
        <w:rPr>
          <w:rFonts w:eastAsia="Calibri"/>
        </w:rPr>
      </w:pPr>
      <w:r w:rsidRPr="00A4268A">
        <w:rPr>
          <w:rFonts w:eastAsia="Calibri"/>
        </w:rPr>
        <w:t xml:space="preserve">Benchmarking reports are produced that include incidents/accidents, infections, complaints and clinical indicators. </w:t>
      </w:r>
    </w:p>
    <w:p w:rsidRPr="00A4268A">
      <w:pPr>
        <w:spacing w:before="240" w:line="276" w:lineRule="auto"/>
        <w:rPr>
          <w:rFonts w:eastAsia="Calibri"/>
        </w:rPr>
      </w:pPr>
      <w:r w:rsidRPr="00A4268A">
        <w:rPr>
          <w:rFonts w:eastAsia="Calibri"/>
        </w:rPr>
        <w:t xml:space="preserve">There are human resource policies implemented around recruitment, selection, orientation, staff training and development </w:t>
      </w:r>
    </w:p>
    <w:p w:rsidRPr="00A4268A">
      <w:pPr>
        <w:spacing w:before="240" w:line="276" w:lineRule="auto"/>
        <w:rPr>
          <w:rFonts w:eastAsia="Calibri"/>
        </w:rPr>
      </w:pPr>
      <w:r w:rsidRPr="00A4268A">
        <w:rPr>
          <w:rFonts w:eastAsia="Calibri"/>
        </w:rPr>
        <w:t xml:space="preserve">Staff, residents and family confirm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from suitably qualified and experienced staff. Assessments are completed within required timeframes and interRAI assessments are up-to-date. Care plan evaluations are documented, resident-focused and indicate progress towards meeting residents’ desired outcomes. Where progress of a resident is different from expected, the service responds by initiating changes to the long term care plan. Short-term problems are recorded on short-term care plans. Residents and their family have opportunity to contribute to care planning and reviews.</w:t>
      </w:r>
    </w:p>
    <w:p w:rsidRPr="00A4268A" w:rsidP="00621629">
      <w:pPr>
        <w:spacing w:before="240" w:line="276" w:lineRule="auto"/>
        <w:rPr>
          <w:rFonts w:eastAsia="Calibri"/>
        </w:rPr>
      </w:pPr>
      <w:r w:rsidRPr="00A4268A">
        <w:rPr>
          <w:rFonts w:eastAsia="Calibri"/>
        </w:rPr>
        <w:t xml:space="preserve">Recreational assessments and recreational plans are completed for residents. Activities are planned and there is evidence of input to the activities programme by a diversional therapist. The activities programme is available to residents in all residents in the facility. </w:t>
      </w:r>
    </w:p>
    <w:p w:rsidRPr="00A4268A" w:rsidP="00621629">
      <w:pPr>
        <w:spacing w:before="240" w:line="276" w:lineRule="auto"/>
        <w:rPr>
          <w:rFonts w:eastAsia="Calibri"/>
        </w:rPr>
      </w:pPr>
      <w:r w:rsidRPr="00A4268A">
        <w:rPr>
          <w:rFonts w:eastAsia="Calibri"/>
        </w:rPr>
        <w:t xml:space="preserve">The medication management system evidences processes comply with legislation, guidelines and protocols for reconciliation, prescribing, administration, dispensing, storage and disposal of medicines. Medicine management training is conducted as part of the in-service training programme. The service does not have any residents who self-administer medicines. All staff responsible for medicines management have current medication competencies. </w:t>
      </w:r>
    </w:p>
    <w:p w:rsidRPr="00A4268A" w:rsidP="00621629">
      <w:pPr>
        <w:spacing w:before="240" w:line="276" w:lineRule="auto"/>
        <w:rPr>
          <w:rFonts w:eastAsia="Calibri"/>
        </w:rPr>
      </w:pPr>
      <w:r w:rsidRPr="00A4268A">
        <w:rPr>
          <w:rFonts w:eastAsia="Calibri"/>
        </w:rPr>
        <w:t>Food and nutritional needs of residents are provided and are in line with recognised nutritional guidelines. Menus are reviewed by a dietitian. Food service complies with current legislation and guidelines.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The environment is appropriate to the needs of the residents. A preventative and reactive maintenance programme includes equipment and electrical checks. Residents are provided with accessible and safe external areas. Residents’ rooms are of an appropriate size to allow for care to be provided and for the safe use and manoeuvring of mobility aids. Essential emergency and security systems are in place, with regular fire drills completed. Call bells allow residents to access help, when needed, in a timely manner.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policy and procedures and the definitions of restraint and enabler are congruent with the restraint minimisation and safe practice standard. There were two residents using restraint and one resident requiring an enabler on audit days. Assessment, care planning, evaluation and monitoring of restraint and enabler use is being conducted. Staff education in restraint, de-escalation and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including surveillance, is occurring according to the provider’s policies. Infection prevention and control policy suits their size and service type. Data on the nature and frequency of identified infections is collected, collated and analysed. The results of surveillance are reported through all levels of the organisation. The service reports infection surveillance data as part of key quality information to the governing body. The service participates in benchmarking against other Oceania Care Company Limited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55"/>
        <w:gridCol w:w="1280"/>
        <w:gridCol w:w="86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stated that they receive services that meet their needs and they receive information relative to their needs. They stated that staff respect their wishes.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annual mandatory education programme. All staff have had training in the Code in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the Code. Examples were provided on ways the Code is implemented in their everyday practice including: maintaining residents' privacy; giving residents’ choices;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of informed consent.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is collected.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information pack includes information regarding informed consent. The business and care manager (BCM) and clinical leader (CL) discuss informed consent processes with residents and their families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The policy and procedure includes guidelines for consent for resuscitation/advance directives and resuscitation orders are completed for residents when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around advocacy services is available at the entrance to the service and in information packs provided to residents and family on admission to the service. Written information on the role of advocacy services is also provided to complainants at the time when their complaint is acknowledged. Staff training on the role of advocacy services was last provided in 2016.</w:t>
            </w:r>
          </w:p>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advocate visits the service, as confirmed by the management team. Family and residents confirmed that the service provides opportunities for the family/enduring power of attorney (EPOA)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 the dementia unit confirmed that they act as advocates for their family member and also for other residents if they identify any needs. They state that the management team appreciates their input.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Families confirmed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 networks. Residents' files reviewed demonstrate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Health and Disability Commissioner's Code of Health and Disability Services Consumers' Rights (the Code), and include periods for responding to a complaint. Complaint forms are available at the entrance. A complaints register is in place and the register includes: the date the complaint is received; the source of the complaint; a description of the complaint; and the date the complaint is resolved. Evidence relating to each lodged complaint is held in the complaints folder. The complaint was reviewed and indicated that the complaint was investigated promptly with the issues resolved in a timely manner.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responsible for managing complaints and residents and family stated that these are dealt with as soon as they are identified. 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and the clinical leader (CL) discuss the Code, with residents and their family on admission. Discussion relating to the Code is also included on the agenda and discussed at the residents’ meetings. Resident and family interviews confirmed their rights are being upheld by the service. Information on the Code is given to next of kin or enduring power of attorney (EPOA) to read and discuss with the resident in private. The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assessments gain details of residents’ beliefs and values, with care plans completed with the resident and/or the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report that they knock on bedroom doors prior to entering rooms, ensure doors are shut when cares are being given and do not hold personal discussions in public areas. This was observed on the days of the audit. Residents and families confirmed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signs. There are no documented incidents of abuse or neglect in the business status reports for 2016 or on the incidents reviewed in residents’ files. Residents, staff, family and the general practitioner confirmed that there was no evidence of abuse or neglect. Staff interviewed were aware of the need for them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confirmed that cultural and/or spiritual values and individual preferences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responsiveness policy which outlines the processes for working with people from other cultures. Specifically a Māori health plan outlines how to work with Māori and the relevance of the Treaty of Waitangi. The rights of the residents/family to practise their own beliefs are acknowledged in the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identify as Māori are able to provide support for Māori residents and their families, if needed. Three of the Māori staff speak fluent te reo Māori. A review of residents’ files confirmed that specific cultural needs are identified in the residents’ care plans. The business and care manager (BCM) stated that a kaumātua can be accessed by the service to support staff on tikanga protocols and general advice.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whānau in the delivery of care for the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There is a culture of choice with the resident determining when cares occur, times for meals and choices in meals and activities. Staff work to balance service delivery, duty of care and resident choice.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involved in the assessment and the care planning processes. Information gathered during assessment includes the resident’s cultural values and beliefs. This information is used to develop a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Residents in the service did not require interpreting services on audit days. Residents who identify as Māori and Pacific Island state that they receive services that meet their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Care Company Limited (Oceania) policies and procedures to ensure staff are aware of good practice and boundaries relating to discrimination, abuse and neglect, harassment and exploitation. Mandatory staff training includes discussion of the staff code of conduct and prevention of inappropriate care. Staff interviewed stated that they are aware of the policies and are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stated that they would formally complain to management if they felt that they were discriminated against. There were no complaints recorded in the complaints register for the previous 12 months relating to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responsibilities of the position; ethics; advocacy and legal issues with a job description sighted in staff files reviewed relevant to the role held by the staff member. The orientation and employee agreement provided to staff on induction include standards of conduct. Interviews with staff confirmed their understanding of professional boundaries, including the boundaries of the health care assistants and senior health care assistance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Oceania policies to guide practice. These policies align with the Health and Disability Services Standards. A quality framework supports an internal audit programme. Benchmarking occurs across all the Oceania facilities. Oceania’s clinical and quality managers for the regions have quarterly cluster meetings to evaluate the quality programme and projects that are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for all staff and managers are encouraged to complete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available for the service through the organisation’s management team that includes: registered nurses; the clinical and quality manager; regional manager and a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incident/accident, has a change in health or a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is recorded in residents’ files. Interviews with family members confirmed they are kept informed. Family also confirmed that they are invited to the care planning meetings for their family member and can attend the residents’ meetings. News letters are sent to all families three monthly and Oceania news letters are sent out every two months. Families confirmed they are well informed.</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The admission agreements reviewed were signed on the day of admission.</w:t>
            </w:r>
          </w:p>
          <w:p w:rsidR="00EB7645" w:rsidRPr="00BE00C7" w:rsidP="00BE00C7">
            <w:pPr>
              <w:pStyle w:val="OutcomeDescription"/>
              <w:spacing w:before="120" w:after="120"/>
              <w:rPr>
                <w:rFonts w:cs="Arial"/>
                <w:b w:val="0"/>
                <w:lang w:eastAsia="en-NZ"/>
              </w:rPr>
            </w:pPr>
            <w:r w:rsidRPr="00BE00C7">
              <w:rPr>
                <w:rFonts w:cs="Arial"/>
                <w:b w:val="0"/>
                <w:lang w:eastAsia="en-NZ"/>
              </w:rPr>
              <w:t>Family of residents in the dementia unit state that they can raise any issues on behalf of their family and believe that these are followed up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Franklin Village is part of the Oceania Care Company Limited (Oceania) with the executive management team including the chief executive, general manager, regional manager, operations manager and clinical and quality manager providing support to the service. Communication between the service and managers takes place on at least a monthly basis with the clinical and quality manager providing support during the audit. The monthly business status report provides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mission statement and philosophy are displayed at the entrance to the facility. Information in booklets is given to new residents and staff training is provided annually.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and care manager (BCM) supported by a clinical leader (CL).The CL has been in the position for six years and holds a current annual practising certificate. The BCM holds a current annual practising certificate and a diploma in business management, has been in aged care for fourteen years and in the current position for six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BCM, the CL is in charge with support from the regional operations manager and clinical and quality manager (organisational).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Franklin Village uses the Oceania Care Company Limited (Oceania) quality and risk management framework to guide practice. The service implements organisational policies and procedures to support service delivery. All policies are subject to reviews as required with all policies current. Oceania support office reviews all policies with input from business and care managers. Policies are linked to the Health and Disability Sector Standards, current and applicable legislation, and evidenced-based best practice guidelines. Policies are readily available to staff in hard copy. New and revised policies are presented to staff to read and staff sign to evidence that they have read and understood the new/revised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pressure injuries; soft tissue/wounds; and implementation of an internal audit programme. The corrective action plans are documented and evidence resolution of issues completed. There is documentation that includes collection, collation, and identification of trends and analysis of data. Internal audits are completed in line with the quality audit schedule, with evidence of corrective actions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Monthly staff meeting minutes including quality improvement, health and safety and infection control, evidence communication with all staff around all aspects of quality improvement and risk management. There are monthly resident meetings coordinated by the diversional therapist that keep residents informed of any changes. Staff report that they are kept informed of quality improvements. Family are invited to come to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The satisfaction survey for family and residents in 2016 shows a high level of satisfaction and this was confirmed by residents and family.</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with a facility health check completed quarterly by the clinical and quality manager. Any issues are identified, a corrective action plan put in place and evidence of resolution of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in which the service is required to report and notify statutory authorities, including unexpected deaths, police attending the facility, sentinel events, infectious disease outbreaks and changes in key management roles. Staff interviews and review of documentation evidence that staff document adverse, unplanned or untoward events on an accident/incident form which are signed off by the BCM. Following analysis, corrective actions are implemented and completed. Incidents have a corresponding note in the progress notes to inform staff of the incident. There have been no deaths referred to the coroner or essential notifications to Ministry of Health (MoH) and district health board (DHB)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 appointment documentation including: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health care assistants are paired with a senior health care assistant for shifts or until they demonstrate competency on a number of tasks including personal cares. Health care assistants confirm their role in supporting and budding new staff. A new staff member interviewed confirming that they had a comprehensive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competencies are completed by clinical staff including: hoist; oxygen use; hand washing; wound management; medication management; moving and handling; restraint; nebuliser; blood sugar and insulin; assisting residents to shower. Evidence of completion of competencies is kept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 with an annual training schedule documented. Staff attendances are documented for internal training provided with some registered nurses and health care assistants attending.</w:t>
            </w:r>
          </w:p>
          <w:p w:rsidR="00EB7645" w:rsidRPr="00BE00C7" w:rsidP="00BE00C7">
            <w:pPr>
              <w:pStyle w:val="OutcomeDescription"/>
              <w:spacing w:before="120" w:after="120"/>
              <w:rPr>
                <w:rFonts w:cs="Arial"/>
                <w:b w:val="0"/>
                <w:lang w:eastAsia="en-NZ"/>
              </w:rPr>
            </w:pPr>
            <w:r w:rsidRPr="00BE00C7">
              <w:rPr>
                <w:rFonts w:cs="Arial"/>
                <w:b w:val="0"/>
                <w:lang w:eastAsia="en-NZ"/>
              </w:rPr>
              <w:t>Education and training hours are at least eight hours a year for each staff member. Two of the five registered nurses have interRAI training and staff have completed training around pressure injuries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There are 38 staff, including the management team, clinical staff, a diversional therapist, and household staff. There is always a registered nurse on each shift. The BCM and CL are on call for afterhours.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on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described the procedures for maintaining confidentiality of resident records,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health care assistant, registered nurse or other staff member, including their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w:t>
            </w:r>
          </w:p>
          <w:p w:rsidR="00EB7645" w:rsidRPr="00BE00C7" w:rsidP="00BE00C7">
            <w:pPr>
              <w:pStyle w:val="OutcomeDescription"/>
              <w:spacing w:before="120" w:after="120"/>
              <w:rPr>
                <w:rFonts w:cs="Arial"/>
                <w:b w:val="0"/>
                <w:lang w:eastAsia="en-NZ"/>
              </w:rPr>
            </w:pPr>
            <w:r w:rsidRPr="00BE00C7">
              <w:rPr>
                <w:rFonts w:cs="Arial"/>
                <w:b w:val="0"/>
                <w:lang w:eastAsia="en-NZ"/>
              </w:rPr>
              <w:t>Information containing sensitive resident information is not displayed in a way that could be viewed by other residents or members of the public. Individual resident files demonstrate service integration. This included medical care interventions. Medication charts are in a separate folder with medication. Staff state that they read the short-term and long-term plans and are informed of any changes through the handover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pre-entry to service process that is managed by the business and care manager (BCM) with the assistance of the clinical leader (CL). The BCM and CL are able to assist residents and family members in understanding the various levels of care, funding requirements and the process of needs assessment. Organisational information packs are available with all appropriate documentation for those enquiring about the service, and/or entering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contacted in a timely manner when a bed becomes available. On entry to the service the service agreement is signed and dated and full orientation of the facility is provided to the resident/family or representative.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There are documented policies and procedures to ensure exit, discharge or transfer of residents is undertaken in a timely and safe manner. The CL reported that they include copies of the resident’s records; including GP visits; medication charts; current long-term care plans;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identifies all aspects of medicine management. Medication areas, including controlled drug storage, evidence an appropriate and secure medicine dispensing system, free from heat, moisture and light, with medicines stored in original dispensed packs. The controlled drug register is maintained and evidenced weekly checks and six monthly physical stocktakes. The medication fridge temperatures are checked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 was observed and evidenced the staff members were knowledgeable about the medicine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evidence residents' photo identification, legibility, as required (PRN) medication is identified for individual residents and correctly prescribed, three monthly medicine reviews are conducted and discontinued medicines are dated and signed by the GP. The residents' medicine charts record all medications a resident is taking (including name, dose, frequency and route to be given). There were no residents self-administering medicines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 and recorded on an incident form. The resident and/or the designated representative are advised. There is a process for comprehensive analysis of any medication errors, and compliance with this process is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cook confirmed they were aware of the residents’ individual dietary needs. The residents' files demonstrate monthly monitoring of individual resident's weight. In interviews, residents stated they are satisfied with the food service. Residents’ individual preferences are met and adequate food and fluids are provided. Interview with the cook confirmed kitchen staff have completed food safety training, and this was verified by their food safety certificates. </w:t>
            </w:r>
          </w:p>
          <w:p w:rsidR="00EB7645" w:rsidRPr="00BE00C7" w:rsidP="00BE00C7">
            <w:pPr>
              <w:pStyle w:val="OutcomeDescription"/>
              <w:spacing w:before="120" w:after="120"/>
              <w:rPr>
                <w:rFonts w:cs="Arial"/>
                <w:b w:val="0"/>
                <w:lang w:eastAsia="en-NZ"/>
              </w:rPr>
            </w:pPr>
            <w:r w:rsidRPr="00BE00C7">
              <w:rPr>
                <w:rFonts w:cs="Arial"/>
                <w:b w:val="0"/>
                <w:lang w:eastAsia="en-NZ"/>
              </w:rPr>
              <w:t>On inspection, the kitchen environment was clean, well-lit and uncluttered. There was evidence of kitchen cleaning schedules, signed off as cleaning is completed. Fridge, chiller and freezer temperatures are monitored regularly and recorded, as are food temperatures. There is a seasonal menu, last reviewed by a dietitian in April 2016. Review of residents’ files, dietary profiles and kitchen documentation showed evidence of residents being provided with nutritional meals and meals such as special diets, pureed meals along with alternative nutrition appropriate to the residents are available. There was enough stock to last in an emergency situations, for three days, for all residents. Residents in the dementia unit are provided with additional snacks throughout the day and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hospital and dementia level of care including twenty four hours of care, seven days a week. Declining a referral does not occur often due to the variety of services offered. Family are assisted in finding appropriate service provider to meet the needs of the resident, if there are no beds available. The BCM and CL assist with this process during the pre-entry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collection of data including: the needs assessment and service coordination (NASC) agency; other service providers involved with the resident; the resident; family/whānau and on-site assessments using a range of assessment tools, including interRAI assessment.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gathered is documented to inform the initial care planning process. The RN undertakes an interRAI assessment and other assessments over three weeks to complete the person centred care plan (PCCP). The PCCP provides long-term care planning and is reviewed six monthly or when the resident’s needs change.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PCCP reviewed were individualised, integrated and up to date. The PCCPs record assessment findings and describe the required support and interventions the resident needs to meet their goals and desired outcomes.</w:t>
            </w:r>
          </w:p>
          <w:p w:rsidR="00EB7645" w:rsidRPr="00BE00C7" w:rsidP="00BE00C7">
            <w:pPr>
              <w:pStyle w:val="OutcomeDescription"/>
              <w:spacing w:before="120" w:after="120"/>
              <w:rPr>
                <w:rFonts w:cs="Arial"/>
                <w:b w:val="0"/>
                <w:lang w:eastAsia="en-NZ"/>
              </w:rPr>
            </w:pPr>
            <w:r w:rsidRPr="00BE00C7">
              <w:rPr>
                <w:rFonts w:cs="Arial"/>
                <w:b w:val="0"/>
                <w:lang w:eastAsia="en-NZ"/>
              </w:rPr>
              <w:t>PCCP evidence service integration with progress notes, activities notes and GP and allied health staff notations recorded. Regular GP care is implemented, evidenced in progress reports and confirmed at the GP interview.</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when required, and signed off by the RN or clinical leader when problems are resolved. Staff reported they receive adequate information for continuity of residents’ care. The residents and/or their family have input into their care planning and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person’s centred care plans (PCCP) evidence the required interventions, desired outcomes or goals of the residents. The GP documentation and records are current. Residents and family confirmed that relatives’ care and treatments meet their needs. Family communication is recorded in the residents’ files. Nursing progress notes and observation charts are maintained. Staff confirmed they are familiar with the needs of the resident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ensures residents’ individual motivational, recreational and cultural needs are recognised. Each resident is assessed by the diversional therapist (DT) on admission. The residents have the opportunity to maintain interests, choices and activities in a continuing care environment. A copy of the monthly activities programme is reviewed and signed off by the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confirmed that resident participation is voluntary and this is respected by staff. A recreation attendance list is maintained. Residents are encouraged to maintain links with family and the community at every opportunity. There are outings arranged each week with a van outing register and consents for outings are obtained. Special days, such as birthdays and special holidays,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chaplain available for church services which are held weekly. At the time of the audit residents were visibly enjoying activities in the different units and residents interviewed reported that they enjoy the variety of planned activities arranged.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unit have 24 hour activity plans for the management of challenging behaviour. Care staff provide activities to residents in the dementia unit after hours or when the DT is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Timeframes in relation to care planning evaluations are documented. In interviews, residents and family confirmed their participation in care plan evaluations and multidisciplinary reviews.</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progress notes are entered on each shift. When residents’ progress is different than expected, the RN contacts the GP as required. Short-term care plans were sighted in residents’ files, and these are used when required. The family are notified of changes in resident's condition. 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options if required to access other health and disability services. Examples of referrals were seen in the individual resident records reviewed. Copies of all referrals are retained in the records. Specialist medical and surgical referrals are arranged as needed. There is a process for transferring residents, if and when required. The district health board (DHB) referral system is followed through and is a guide for the GP and staff after hours, as needed.</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leader (CL) and RNs interviewed reported that referral services respond to referrals sent in a timely manner. Records of the processes maintained was confirmed in the residents’ records reviewed, which includes referrals and consultations to specialist appointments radiology services, geriatricians/nurse practitioners, dietitians and other health professionals, when required. The GP interviewed reported that appropriate referrals to other health and disability services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in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in a designated shed with chemical hazard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 although there has been refurbishment of the facility as part of the Oceania’s facilities upgrade programme referred to as Homely Homes, including an upgrade to the kitchen and one of the garden court yards.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and reactive maintenance schedule implemented. The following equipment is available: pressure relieving mattresses; shower chairs; hoists and sensor alarm mats. There is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 privacy when required. There are two internal courtyards and grass areas with shade, seating and outdoor tables.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unit for residents with dementia, one entrance with a key pad access internally and one exit into a secure courtyard.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All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spoke positively about their rooms. Equipment was sighted in rooms requiring this with sufficient space for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can be personalised with furnishings, photos and other personal adornments and the service encouraged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store mobility aids, hoists and wheelchairs. The hospital rooms and assisted care rooms are large enough to accommodate specific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lounge/dining areas including areas that can be used for activities. All areas are easily accessed by residents and staff. Residents are able to access areas for privacy, if required.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areas have ample space for residents. Residents can choose to have their meals in their room.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its own dining room and lounge area, with residents in the dementia unit encouraged to join in some activities held in the main hospital/rest home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off site, and is delivered daily. Laundry is transported in appropriate colour coordinated linen bags. Laundry staff sort the personal laundry in the evening and health care assistants are required to return linen to the rooms. Residents and family members confirmed that the laundry is well managed. There are cleaners on site during the day, seven days a week. The cleaners have a lockable cupboard to put chemicals in and are aware that the trolley must be with them at all times. Cleaners were observed to be vigilant on the days of the audit particularly in the dementia unit around keeping the trolley in sight and limiting the chemical cleaning agents on the trolley to one bottle.</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in appropriately labelled containers. Products are used with training about the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evacuation plan was approved by the New Zealand Fire Service in August 2005. An evacuation policy on emergency and security situations is in place. A fire drill is conducted six monthly. The last fire training was completed in April 16. The orientation programme includes fire and security training. Staff confirmed their awareness of emergency procedures. All required fire equipment was sighted on the day of audit and all equipment had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one registered nurse with a current first aid certificate on duty.</w:t>
            </w:r>
          </w:p>
          <w:p w:rsidR="00EB7645" w:rsidRPr="00BE00C7" w:rsidP="00BE00C7">
            <w:pPr>
              <w:pStyle w:val="OutcomeDescription"/>
              <w:spacing w:before="120" w:after="120"/>
              <w:rPr>
                <w:rFonts w:cs="Arial"/>
                <w:b w:val="0"/>
                <w:lang w:eastAsia="en-NZ"/>
              </w:rPr>
            </w:pPr>
            <w:r w:rsidRPr="00BE00C7">
              <w:rPr>
                <w:rFonts w:cs="Arial"/>
                <w:b w:val="0"/>
                <w:lang w:eastAsia="en-NZ"/>
              </w:rPr>
              <w:t>A disaster management plan is in place with clear information for staff to follow in the event of an emergency. There are adequate supplies, including food, water, blankets, emergency lighting and gas BBQ.</w:t>
            </w:r>
          </w:p>
          <w:p w:rsidR="00EB7645" w:rsidRPr="00BE00C7" w:rsidP="00BE00C7">
            <w:pPr>
              <w:pStyle w:val="OutcomeDescription"/>
              <w:spacing w:before="120" w:after="120"/>
              <w:rPr>
                <w:rFonts w:cs="Arial"/>
                <w:b w:val="0"/>
                <w:lang w:eastAsia="en-NZ"/>
              </w:rPr>
            </w:pPr>
            <w:r w:rsidRPr="00BE00C7">
              <w:rPr>
                <w:rFonts w:cs="Arial"/>
                <w:b w:val="0"/>
                <w:lang w:eastAsia="en-NZ"/>
              </w:rPr>
              <w:t>An electronic call bell system is in place. There are call bells in all resident rooms, resident toilets, and communal areas including the hallways and dining rooms. Call bell audits are routinely completed. Observation on the days of audit and interviews with residents and family confirmed there are prompt responses to call bells. Sensor mats are used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Staff complete a check in the evening that confirms that security measures have been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external smoking area for residents.</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confirm that rooms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and procedures provide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The delegation of infection control matters is documented in policies, along with an infection control nurse’s (ICN) job description. The infection control nurse is a registered nurse. There is evidence of regular reports on infection related issues and these are communicated to staff and management. The infection control programme is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reports to management monthly and trends or issues identified are shared with staff. External specialist advice from the contracted GPs, the laboratory microbiologist and the ICN specialists at DHB is available, as required. The GP interviewed is informed of obligations and reporting systems, if needed, for notifiable infections outbreaks of disease or illness. There have been no outbreaks of infection since the last audit. Guidelines, policies and procedures are in place for staff to follow should an incident arise.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relevant to the service and reflect current accepted good practice and relevant legislative requirements. Policies are accessible to all personnel. The infection control policies and procedures are developed and reviewed regularly in consultation and input from relevant staff, and external specialists. Infection control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education is provided to all staff, as part of their orientation and as part of the ongoing in-service education programme. In interviews, staff advised that clinical staff identify situations where infection control education is required for a resident such as: hand hygiene; cough etiquette; and one on one education is conducted. A registered nurse completed additional training for the role as the infection control coordinator (ICC). The infection control staff education is provided by the ICN, RNs and external specialists. Education sessions have evidence of staff attendance/participation and content of the presentations. Staff are required to complete infection control competencies, sighted in staff files and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in line with the organisation’s policies and the requirements for infection prevention and control as set out in the NZS 8134.3:2008: Health and Disability Services (Infection Prevention and Control) Standards. Infections are recorded as quality indicators on the intranet. Residents with infections have short-term care plans completed to ensure effective management and monitoring of infections. Quality indicators are reported on a monthly basis at staff, quality, infection control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Infection summary logs are maintained for infection events in individual resident’s files reviewed. In interviews, staff reported they are made aware of any infections of individual residents by way of feedback from the RNs, verbal handovers and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There is a job description for the position of the restraint coordinator. The restraint coordinator is the clinical leader.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observations, and review of documentation, demonstrated safe use of restraint and enablers. The service has a policy of actively minimising restraint. The service has a documented system in place for restraint and enabler use, including a current restraint register. There were two restraints and one enabler being used in the facility on audit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relevant legislation and requirements for restraint, inclusive of definitions and safe and appropriate guidelines for management of the use of restraint, is documented. The processes implemented reflect the safe use of restraint and enablers.</w:t>
            </w:r>
          </w:p>
          <w:p w:rsidR="00EB7645" w:rsidRPr="00BE00C7" w:rsidP="00BE00C7">
            <w:pPr>
              <w:pStyle w:val="OutcomeDescription"/>
              <w:spacing w:before="120" w:after="120"/>
              <w:rPr>
                <w:rFonts w:cs="Arial"/>
                <w:b w:val="0"/>
                <w:lang w:eastAsia="en-NZ"/>
              </w:rPr>
            </w:pPr>
            <w:r w:rsidRPr="00BE00C7">
              <w:rPr>
                <w:rFonts w:cs="Arial"/>
                <w:b w:val="0"/>
                <w:lang w:eastAsia="en-NZ"/>
              </w:rPr>
              <w:t>Restraint approval is made in conjunction with the registered nurse, the GP and the restraint coordinator. There is a flow chart available which clearly outlines the processes for restraint/enabler approval. A restraint assessment authorisation and plan is completed by the registered nurse Resident input is sought as applicable. The form outlines the conditions for the use of the restraint/enabler and verifies this has been explained to the resident/family/whānau.</w:t>
            </w:r>
          </w:p>
          <w:p w:rsidR="00EB7645" w:rsidRPr="00BE00C7" w:rsidP="00BE00C7">
            <w:pPr>
              <w:pStyle w:val="OutcomeDescription"/>
              <w:spacing w:before="120" w:after="120"/>
              <w:rPr>
                <w:rFonts w:cs="Arial"/>
                <w:b w:val="0"/>
                <w:lang w:eastAsia="en-NZ"/>
              </w:rPr>
            </w:pPr>
            <w:r w:rsidRPr="00BE00C7">
              <w:rPr>
                <w:rFonts w:cs="Arial"/>
                <w:b w:val="0"/>
                <w:lang w:eastAsia="en-NZ"/>
              </w:rPr>
              <w:t>For all residents for whom restraint/enablers are being used, evaluation is undertaken to gauge the effectiveness or otherwise of restraint/enabler as an appropriate safe intervention. The resident/family/whānau are involved in the evaluation process. The evaluations are completed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Staff confirm their understanding and use of the restraint in the person centred care plan. Education is provided to all staff in the form of a workshop and education covers alternatives to restraint/enabler use and management of restraint minimisation and 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include restraint related risks. The service records issues contributing to the need for safety that may require restraint with a focus on: culturally safe practices; identification of desired outcomes; and possible alternatives to restraint. Restraint risks and monitoring timeframes are identified in the restraint assessment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Before the use of restraint, the restraint coordinator utilises other means to minimise risk, for example, the use of sensor mats. Restraint consents are signed by the GP, family and the restraint coordinator. The GP confirmed that the facility uses restraint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evaluates all episodes of restraint. Reviews include the effectiveness of the restraint in use, restraint-related injuries and whether the restraint is still required. The family are involved in the evaluation of the restraints’ effectiveness and reviews. Documentation was sighted in the progress notes regarding restraint related matters. Restraint minimisation and safe practices are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monthly monitoring and annual quality reviews are conducted relating to the use of restraint/enablers. Restraint team meetings are held monthly. Senior staff and registered nurses attend. The restraint coordinator reports to management and to support office on a monthly basis. Quality review findings and any recommendations are used to improve service provision and resident safety. The restraint minimisation policies are current and are available to guide staff.</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education provided for all staff is managed and staff attend in-service training on a regular basis, as documented in the education programme. Records are maintained by the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Franklin Rest Home</w:t>
    </w:r>
    <w:bookmarkEnd w:id="58"/>
    <w:r>
      <w:rPr>
        <w:rFonts w:cs="Arial"/>
        <w:sz w:val="16"/>
        <w:szCs w:val="20"/>
      </w:rPr>
      <w:tab/>
      <w:t xml:space="preserve">Date of Audit: </w:t>
    </w:r>
    <w:bookmarkStart w:id="59" w:name="AuditStartDate1"/>
    <w:r>
      <w:rPr>
        <w:rFonts w:cs="Arial"/>
        <w:sz w:val="16"/>
        <w:szCs w:val="20"/>
      </w:rPr>
      <w:t>30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