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Ripponburn Holdings Limited - Ripponburn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Ripponburn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Ripponburn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August 2016</w:t>
      </w:r>
      <w:bookmarkEnd w:id="7"/>
      <w:r w:rsidRPr="009418D4">
        <w:rPr>
          <w:rFonts w:cs="Arial"/>
        </w:rPr>
        <w:tab/>
        <w:t xml:space="preserve">End date: </w:t>
      </w:r>
      <w:bookmarkStart w:id="8" w:name="AuditEndDate"/>
      <w:r w:rsidR="00A4268A">
        <w:rPr>
          <w:rFonts w:cs="Arial"/>
        </w:rPr>
        <w:t>23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Ripponburn Home and Hospital provides residential care for up to 46 residents who require rest home and hospital level care.  On the day of the audit there were 43 residents. The facility is operated by Ripponburn Holdings Limited.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is one area requiring improvement relating to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residents and their families. Residents and family members confirmed their rights are being met, staff were respectful of their needs and communication was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w:t>
      </w:r>
    </w:p>
    <w:p w:rsidRPr="00A4268A">
      <w:pPr>
        <w:spacing w:before="240" w:line="276" w:lineRule="auto"/>
        <w:rPr>
          <w:rFonts w:eastAsia="Calibri"/>
        </w:rPr>
      </w:pPr>
      <w:r w:rsidRPr="00A4268A">
        <w:rPr>
          <w:rFonts w:eastAsia="Calibri"/>
        </w:rPr>
        <w:t xml:space="preserve">Staff receive regular and ongoing education on resident rights and how these should be implemented on a daily basis.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w:t>
      </w:r>
    </w:p>
    <w:p w:rsidRPr="00A4268A">
      <w:pPr>
        <w:spacing w:before="240" w:line="276" w:lineRule="auto"/>
        <w:rPr>
          <w:rFonts w:eastAsia="Calibri"/>
        </w:rPr>
      </w:pPr>
      <w:r w:rsidRPr="00A4268A">
        <w:rPr>
          <w:rFonts w:eastAsia="Calibri"/>
        </w:rPr>
        <w:t>The general manager is responsible for the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Ripponburn Holdings Limited is the governing body and is responsible for the service provided.  A business plan and a quality and risk management plan were reviewed that include a mission statement, values, quality objectives, strengths and weaknesses.</w:t>
      </w:r>
    </w:p>
    <w:p w:rsidRPr="00A4268A">
      <w:pPr>
        <w:spacing w:before="240" w:line="276" w:lineRule="auto"/>
        <w:rPr>
          <w:rFonts w:eastAsia="Calibri"/>
        </w:rPr>
      </w:pPr>
      <w:r w:rsidRPr="00A4268A">
        <w:rPr>
          <w:rFonts w:eastAsia="Calibri"/>
        </w:rPr>
        <w:t>The general manager is part owner of Ripponburn Home and Hospital and has extensive experience working in the aged-care sector. The general manager is supported by an experienced nurse manager who is responsible for oversight of clinical care provided to residents.</w:t>
      </w:r>
    </w:p>
    <w:p w:rsidRPr="00A4268A">
      <w:pPr>
        <w:spacing w:before="240" w:line="276" w:lineRule="auto"/>
        <w:rPr>
          <w:rFonts w:eastAsia="Calibri"/>
        </w:rPr>
      </w:pPr>
      <w:r w:rsidRPr="00A4268A">
        <w:rPr>
          <w:rFonts w:eastAsia="Calibri"/>
        </w:rPr>
        <w:t xml:space="preserve">Quality and risk management systems are in place.  There is an internal audit programme and an up to date hazard register.  Adverse events are documented on accident/incident forms.  Corrective action plans are developed, implemented and monitored for effectiveness.  Quality and staff meetings are held on a regular basis and there is reporting on various clinical indicators and trends. </w:t>
      </w:r>
    </w:p>
    <w:p w:rsidRPr="00A4268A">
      <w:pPr>
        <w:spacing w:before="240" w:line="276" w:lineRule="auto"/>
        <w:rPr>
          <w:rFonts w:eastAsia="Calibri"/>
        </w:rPr>
      </w:pPr>
      <w:r w:rsidRPr="00A4268A">
        <w:rPr>
          <w:rFonts w:eastAsia="Calibri"/>
        </w:rPr>
        <w:t>Human resource processes are followed. There are policies and procedures on human resource management.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practise.  Registered nurses are rostered on duty at all times. The general manager and the nurse manager are on call after hours.  </w:t>
      </w:r>
    </w:p>
    <w:p w:rsidRPr="00A4268A">
      <w:pPr>
        <w:spacing w:before="240" w:line="276" w:lineRule="auto"/>
        <w:rPr>
          <w:rFonts w:eastAsia="Calibri"/>
        </w:rPr>
      </w:pPr>
      <w:r w:rsidRPr="00A4268A">
        <w:rPr>
          <w:rFonts w:eastAsia="Calibri"/>
        </w:rPr>
        <w:t>Systems are in place that ensure all aspects of resident information management is consistent with legislative and best practice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appropriate services that meet their desired goals/outcomes. Residents are admitted with the use of standardised risk assessment tools. Long and short term care plans are developed and evaluated in a timely manner. Improvement is required in relation to documenting the interventions in the long term care plans in order to address the desired goals/outcomes. Short term care plans are developed when acute conditions are identified and resolutions are documented. Planned activities are appropriate to the needs, age and culture of the residents who reported that the activities are enjoyable and meaningful to them. </w:t>
      </w:r>
    </w:p>
    <w:p w:rsidRPr="00A4268A" w:rsidP="00621629">
      <w:pPr>
        <w:spacing w:before="240" w:line="276" w:lineRule="auto"/>
        <w:rPr>
          <w:rFonts w:eastAsia="Calibri"/>
        </w:rPr>
      </w:pPr>
      <w:r w:rsidRPr="00A4268A">
        <w:rPr>
          <w:rFonts w:eastAsia="Calibri"/>
        </w:rPr>
        <w:t xml:space="preserve">The medicine management system meets the required regulations and guidelines. </w:t>
      </w:r>
    </w:p>
    <w:p w:rsidRPr="00A4268A" w:rsidP="00621629">
      <w:pPr>
        <w:spacing w:before="240" w:line="276" w:lineRule="auto"/>
        <w:rPr>
          <w:rFonts w:eastAsia="Calibri"/>
        </w:rPr>
      </w:pPr>
      <w:r w:rsidRPr="00A4268A">
        <w:rPr>
          <w:rFonts w:eastAsia="Calibri"/>
        </w:rPr>
        <w:t>Food services meet the food safety guidelines and legislation. The individual food, fluids and nutritional needs of the residents are met. Reviewed resident files evidenced stable weights and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Rooms are single in the rest home areas apart from two double rooms currently used as single accommodation. The hospital area has a mix of single and double rooms. There are adequate numbers of communal bathrooms and toilets. Residents' rooms have personal space provided. There are a number of lounges, dining areas and alcoves. Safe external areas are available.</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linen and equipment were safely stored. Cleaning and laundry systems, including appropriate monitoring, is undertaken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which are utilised as the least restrictive option that allows the residents to maintain independence, comfort and safety. Risk management plans are in place to prevent restraint-related injuries. There are two residents using restraints and one resident using an enabler. Staff training on restraints and enablers is conducted annually. Interviewed staff demonstrated good knowledge on restraints and enablers.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include a comprehensive infection control programme in order to maintain a low infection rate in the facility. The infection control co-ordinator collates monthly infection data. The type of surveillance is appropriate to the size and complexity of the service. The infection rates are discussed in the monthly staff and quality meetings and interventions to reduce infections are also discussed. </w:t>
      </w:r>
    </w:p>
    <w:p w:rsidRPr="00A4268A">
      <w:pPr>
        <w:spacing w:before="240" w:line="276" w:lineRule="auto"/>
        <w:rPr>
          <w:rFonts w:eastAsia="Calibri"/>
        </w:rPr>
      </w:pPr>
      <w:r w:rsidRPr="00A4268A">
        <w:rPr>
          <w:rFonts w:eastAsia="Calibri"/>
        </w:rPr>
        <w:t>Infection control experts are available and can be consulted by the infection prevention and control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30"/>
        <w:gridCol w:w="1280"/>
        <w:gridCol w:w="85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received education related to the Health and Disability Commissioner’s Code of Health and Disability Services Consumer’s Rights (the Code) as part of their orientation programme. On-going education on the Code has been provided by an advocate from the Health and Disability Advocacy Service.  Staff demonstrated a good understanding of the requirements of the Code, outlining how these were incorporated into their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a copy of the Code on admission and copies are displayed throughout the facility. Residents and families stated that staff provide services that comply with consumer rights legislation. The resident and family satisfaction surveys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were observed explaining procedures, seeking verbal acknowledgement to proceed, protecting residents' privacy, and addressing residents by their preferred name.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Residents’ records contained completed general consent forms, as well as consent forms related to specific treatments. Some residents have advance directives and living wills on their files.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advised that residents were consistently given the opportunity to make informed choices and that consent was obtained and respected. Family members also reported they were kept well informed about what was happening with the resident.  Staff interviewed were able to demonstrate a good understanding of consent processes, and were able to provide examples of how they obtained consent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and information on advocacy services. Posters related to the advocacy service were also displayed in the facility.  Family members and residents spoken with were aware of the advocacy service and how to access this. The Nationwide Health and Disability Advocacy Service has provided onsite education and an advocate is accessible at any time. </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advocacy service is part of the staff induction/orientation programme, as confirmed in staff orientation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felt welcome when they visit their relative. When residents are able, they are encouraged to maintain their community and family links, including home visits with family.  Regular outings are arranged for residents that enable them to participate in a range of community events. For example, the care and friendship club, the local child care centre and the country woman’s institute.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also supported to access health care services external to the facility, such as visits to the dentist. Residents and family confirmed residents are able to continue their links with the community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complaint management and there are systems in place to manage this process. A complaints register is maintained.  There was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Review of quality and staff meeting minutes provided evidence of reporting of complaints to staff.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GM reported there have been no investigations by the Health and Disability Commissioner, the Ministry of Health, the District health Board, the Accident Compensation Corporation,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procedures and interviews with residents, family and staff confirmed that residents’ rights are understood and met in everyday practice.  Information about the Code of Rights, advocacy services and the complaints process is provided on admission and displayed in the entry foyer. The Code is displayed in both Te Reo and English. Residents have attended a session on the Code with an advocate from the Health and Disability Advocacy Service. Residents interviewed confirmed this and demonstrated good knowledge.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interpreters is available. Information is provided on access to support services, applying for a residential care subsidy and the facilities range of costs and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systems and processes in place to ensure that residents’ privacy is maintained, independence is supported and they are treated with dignity and respect.  All residents’ clinical information is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 private room and there was evidence of residents being supported and encouraged to personalise their room. Staff were observed to maintain residents’ privacy when undertaking personal cares, to address residents by their preferred name and to knock on closed doors before entering.  Residents and family members advised they are treated respectfully, and that individual needs are met. The resident and family satisfaction survey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relating to abuse and neglect was well understood by staff interviewed. All staff undergo police vetting as part of the employment process and human resource records confirmed those checks had been completed.  The staff ‘House Rules’ contains detailed information on the behaviours expected of staff. Residents, families, staff and managers stated they were not aware of any events concerning abuse and neglect </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included documentation relating to meeting each resident’s individual cultural, religious and social needs, values and beliefs.  The care plans evidenced this had been developed in conjunction with the resident and/or their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no residents who identify as Maori. Cultural beliefs and related requirements are part of the admission process, which then informs the relevant section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Documentation is in place to guide staff practices to ensure residents’ needs are met in a manner that respects and acknowledges their individual cultural, values and beliefs.    The ‘Maori Health Plan’ has been reviewed by the local Kaumatua who has also provided education on cultural awareness which included barriers to accessing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and special requirements were included in the care plans reviewed. The involvement of residents and families in the development and ongoing review of these care plans was well documented.  Residents and family members advised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 The induction process for staff includes education related to professional boundaries and expected behaviours. In addition, staff are provided with this information in both the staff house rules and the individual employment contract. Ongoing education is also provided on an annual basis, confirmed in staff training records. Staff interviewed were able to demonstrate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clinical policies are available to guide practice.  These reflect best practice, and are used by staff in conjunction with their own professional networks to ensure services are of an appropriate standard. Evidence was sighted of the input of a range of allied health providers including palliative care, wound care specialist, dietitian and speech language therapist. There is regular in-service education including online and staff access external education that is focused on aged care and best practice. The general practitioner (GP) confirmed satisfaction with the standard of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contained evidence of effective communication with residents and families. Communication with family members was documented in the family/whanau communication sheets.  Residents and family members stated they were kept well informed about any changes to the resident’s status, and were advised in a timely manner about any incidents or accidents. The nurse manager advised that families were also routinely advised about the outcome of the regular and urgent medical reviews of the resident. There was also evidence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reported that interpreter services are able to be accessed via the local District Health Board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Holdings Limited is the governing body and is responsible for the service provided.  The organisation is approved to provide care for up to 46 residents (21 rest home and 25 hospital level care). During the day of the audit, there are 19 rest home level residents, two of which were receiving respite care and 24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business plan was reviewed and includes a philosophy, mission statement, goals, objectives, a business structure and an organisational flow chart and reporting lines. </w:t>
            </w:r>
          </w:p>
          <w:p w:rsidR="00EB7645" w:rsidRPr="00BE00C7" w:rsidP="00BE00C7">
            <w:pPr>
              <w:pStyle w:val="OutcomeDescription"/>
              <w:spacing w:before="120" w:after="120"/>
              <w:rPr>
                <w:rFonts w:cs="Arial"/>
                <w:b w:val="0"/>
                <w:lang w:eastAsia="en-NZ"/>
              </w:rPr>
            </w:pPr>
            <w:r w:rsidRPr="00BE00C7">
              <w:rPr>
                <w:rFonts w:cs="Arial"/>
                <w:b w:val="0"/>
                <w:lang w:eastAsia="en-NZ"/>
              </w:rPr>
              <w:t>The GM is part owner of Ripponburn Home and Hospital along with other family members. The GM is a registered nurse who has extensive experience working in the aged-care sector and has been in their current position for 24 years.  The GM is supported by an experienced nurse manager (NM) who has been in their current position for 12 years.  The nurse manager is responsible for oversight of clinical care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for monitoring the services provided including three monthly reporting by the GM to other family members. The GM presents a comprehensive report at the annual governance meeting. Minutes of the meetings and review of the reports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GM, the nurse manager deputises.  When the nurse manager is absent, the GM deputies. The GM and the nurse manager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and Risk Management Plan’ is used to guide the quality programme and includes quality goals and objectives.  There was evidence that quality improvement data is collected, collated and comprehensively analysed to identify trends. Corrective actions are developed and implemented to improve service delivery. There is an internal audit programme and completed internal audits for 2015 and 2016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meetings including health and safety and infection control and staff meetings are held two monthly.  There was clear evidence of reporting on clinical indicators and quality and risk issues at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are kept informed of quality and risk management issues, including clinical indicators.  Copies of meeting minutes and graphs of clinical indicators were available for staff to read and sign off on if they had not been able to attend the meetings.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current and relevant to the scope and complexity of the service. They reflect current accepted good practice and reference legislative requirements. Care staff confirmed the policies and procedures provide appropriate guidance and that they are advised of new policies / revised policies by the general manger and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hazard register identifies health and safety risks as well as risks associated with human resources management, legislative compliance, contractual risks and clinical risk.  A health and safety manual includes relevant policies and procedures and a hazard flow chart to guide staff through the process. The nurse manager is the health and safety representative and they have attended education relating to the new health and safety legislation. The nurse manager reported they have reviewed and updated the policy and procedures. Documentation reviewed confirmed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These are collated by the nurse manager. The original is kept in the residents’ files.  Data includes summaries and graphs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confirmed this.  Policy and procedures comply with essential notification reporting.  The GM confirmed there has been an essential notification to the Ministry of Health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 management are in place. Staff files include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managing the in-service education programme. There was evidence indicating in-service education is provided for staff utilising various methods of delivery including teleconferencing and on-line learning.  Individual records of education are maintained as are competency assessments.  Education records for each session and in-service education programmes indicated there is good attendance at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encouraged to complete a New Zealand Qualification Authority education programme.  One of the RNs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six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The minimum amount of staff is provided during the night shift and consists of one registered nurse and two care staff.  The GM and the nurse manager are on-call after hours.  Care staff interviewed reported there was adequate staff available and that they were able to get through the work allocated to them.  Residents and families interviewed reported there was enough staff on duty to provide them or their relative with adequate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was entered in an accurate and timely manner both into an electronic and hard copy register, on the day of admission.  Resident files were integrated and approved abbreviations were listed. Resident information was not observed to be publicly accessible or able to be observed by the public. Resident files provided evidence that entries into the residents’ clinical record included the time of entry and the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notes were current and accessible to staff. The resident's national health index (NHI) number, name, date of birth and GP are used as the unique identifier.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know how to maintain confidentiality of resident information.  Historical records are held securely on site and were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and procedures provide guidelines when a resident is admitted. Admission agreements are signed by the residents or by their families. This was discussed in detail with the resident or with their families by the nurse manager or by the general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and process from the district health board is utilised when residents are required to be transferred to the public hospital. The nurse manager reported that verbal hand overs are conducted for all transfers to other services. The resident and their families are involved for all exit or discharges to and from the service. This was confirmed in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medicine management system is consistently implemented to ensure safe delivery of medicines to the residents. An electronic system is now in place which evidenced current resident identification, well-documented allergies and indications as well as crushing instructions of medicines. Medication records are reviewed regularly. Weekly and six monthly stocktakes are conducted. The controlled drugs register is current and residents on regular or as required pain medications have pain assessments in place. </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is monitored and the temperature is recorded daily.</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by the RNs when a resident is discharged back to the service. A system is in place when returning expired or unwanted medications.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 time medications complied with the medicine administration policies and procedures. Current medication competencies are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who self-administer their inhalers and policies and procedures are in place to ensure safe storage and compliance.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include the principles of food safety, ordering, storage, cooking, reheating and food handling. A system is in place when receiving deliveries. All meals are prepared and cooked onsite. Staff who work in the kitchen have food handling certificates. The kitchen staff use safe food handling practices when preparing meals. A kitchen cleaning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Dietary requirement forms are completed by the RNs on admission and the kitchen is provided a copy. Additional or modified foods are also provided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to the rest home dining area while a bain marie is utilised to transport meals for the hospital unit. The meals are well-presented and residents confirmed they are provided with alternative meals as per request. All residents are weighed monthly and residents with weight changes are provided with food supplements or fortified foods.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service. The nurse manager reported that they have not declined any potential resident but is knowledgeable with the processes when a resident had a level of care they cannot provide. The nurse manager also reported that the district health board needs assessors provide the service a completed level of care assessment to ensure the suitability of the resident prior viewing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admit residents using standardised risk assessment tools on admission. Residents are assessed using the interRAI assessment tools within the required time frames. There are three interRAI competent staff conducting interRAI assessments. Trends are generated after completing interRAI assessments and these are the focus of care planning as evidenced in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 focused and personalised. There is evidence that the service promotes continuity of service and the goals are specific. The RNs develop and implement the long term care plans. Short term care plans are developed when acute conditions are identified. Residents and families are involved in the development of the long term care plans. Staff are informed regarding changes in the care plans through hand overs and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and implemented by the RNs. Documented interventions in the short term care plans addressed the issues identified when a resident develops an acute condition. Improvement is required in relation to the detail of interventions in the long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diversional therapist (DT) develops the activity plans using the resident’s profile gathered during the interview with the resident and their families. There are four activity coordinators assisting the DT in implementing the activity plans. Weekly activity plans are posted where residents can see what is scheduled for the week. Activity plans are well-documented and reflect the resident’s preferred activities. A participation log is maintained. Residents are referred to the RNs when a resident’s involvement in the activities changes. Interviewed residents and families reported satisfaction with the activities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evaluated in a timely manner. Evaluations include the residents’ degree of achievement towards goals. Resident’s response to treatment is documented in the short term care plans. Changes in the interventions in the long term care plans are initiated when the goals/desired outcomes are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was evidence that residents were referred by the GP to other specialist services. Residents and families are kept informed of the referrals made by the service. Internal referrals are facilitated by the nurse manager and the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any incidents are reported in a timely manner.  Policies and procedures specify labelling requirements in line with legislation.  Material safety data sheets are available throughout the facility and accessible for staff.  The hazard register documents hazardous substances including LPG cylinders and diesel used at the facility. Staff have received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is appropriate to the recognised risks.  Protective clothing and equipment was observed in the sluice rooms and the laundry.  Staff were observed using the protective clothing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are appropriate systems in place to ensure the residents’ physical environment and facilities are fit for purpose.  There is a proactive and reactive maintenance programme in place and buildings, plant and equipment are maintained to an adequate standard.  Documentation reviewed, the maintenance person interviewed and observation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also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communal bathrooms and toilets throughout the facility.  Residents reported that there are sufficient toilets and they are easy to access. There is one bedroom in the hospital area with a full ensuite.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for residents and staff to move around within the bedrooms safely.  There are two double bedrooms that are currently used for single accommodation in the rest home, and a mix of double and single rooms in the hospital area.  Residents spoke positively about their accommodation.  Rooms are personalised with furnishings, photos and other personal adornments.</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areas for residents to frequent for activities, dining and relaxing and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is managed well and resident’s clothes are returned in a timely manner. The laundry is washed by a dedicated laundry person who demonstrated knowledge of the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education.  Interview of one of the cleaners and training records confirmed this.  The cleaners have a lockable cupboard to store chemicals.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An evacuation policy on emergency and security situations is in place.  A fire drill takes place six-monthly, documentation reviewed confirmed this.  The orientation programme includes fire and security training.  Staff confirmed their awareness of emergency procedures. Education has been provided to staff relating to emergencies, including earthquakes. 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  The facility has a diesel operated generator for use during an emergency.</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Call system audits are completed on a regular basis.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Contractors must wear names badges and sign in and out of the facility. They are also made aware of any hazards on site.  The nurse manager confirmed this and stated they are currently reviewing the procedures around security when contractors are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doors are locked in the evenings.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heat pumps and hot water heaters.  Residents are provided with safe ventilation, and an environment that is maintained at a safe and comfortable temperature.  Residents confirmed the temperature in the facility is comfortable. There is a designated external smoking area.  All resident areas are provided with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as clearly defined. The infection control nurse (ICN) is responsible for collecting infection control date. The service utilises the support of an infection control expert for infection prevention and management issues. The ICN attends regular infection control updates and seminars.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prevention and control is included in the monthly staff meeting.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not to visit when unwell. There are hand sanitisers in the common areas and there are adequate hand basins for the residents and staff to use.</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are readily available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facilitating infection prevention and control activities in the facility. The infection control team is responsible for implementing and evaluating the infection control programme. The GP reported that the RNs contact the medical centre when residents manifested suspected infections. An infection control expert provided advice to the ICN. Interviewed staff were knowledgeable about outbreak management and breaking the chain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prevention and control of infection. Policies aligned with the current accepted good practice and relevant legislative requirements. Policies are readily available for the staff and procedures are practical, safe, and suitable for the type of service provided. Best practice is reflected in their everyday practice.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provided to staff as a component of their ongoing education programme. Resident and their families are provided with advice in relation to infection prevention and control activities. Staff demonstrated good knowledge in infection prevention and control measures i.e.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attends regular trainings and seminars.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rates is carried out in accordance with agreed objectives and methods in the infection control programme. Surveillance activities are appropriate to the size and setting of the service. Infection rates are monitored, data are collected and analysed by the ICN. Infection rates are discussed during staff and quality meetings. Specific recommendations to reduce, manage and prevent the spread of infections are discussed in the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two residents using restraints and no residents are using an enabler. The restraint register is current and updated. The policies and procedures have good definitions of restraints and enablers.  Staff demonstrated good knowledge about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designated restraint coordinator. Responsibilities of the restraint coordinator and approval committee are clearly outlined. The restraints used include bedrails and lapbelts. The restraint to be used is approved by the restraint approval committee prior commencing. Regular reviews are conducted by the GP of the restraints in use.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staff meetings and the measures to prevent restraint-related injuries.</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good knowledge with the restraint approval and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completes restraint assessment forms prior to commencing the restraints. These were evident in the files of the residents using restraints. Risk factors are identified and the rationale of the restraint used was documented. The restraint used is included in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good knowledge in maintaining cultural safe practices when restraint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promotes the safe use of restraint. There is a current and updated restraint register. The risk management plan ensures the resident’s safety while the restraint is in use. Interviewed staff demonstrated good knowledge about restraints and strategies to promote resident safety. Policies and procedures are in place and accessible to all staff to read. There are no reported restraint-related injuries,</w:t>
            </w:r>
          </w:p>
          <w:p w:rsidR="00EB7645" w:rsidRPr="00BE00C7" w:rsidP="00BE00C7">
            <w:pPr>
              <w:pStyle w:val="OutcomeDescription"/>
              <w:spacing w:before="120" w:after="120"/>
              <w:rPr>
                <w:rFonts w:cs="Arial"/>
                <w:b w:val="0"/>
                <w:lang w:eastAsia="en-NZ"/>
              </w:rPr>
            </w:pPr>
            <w:r w:rsidRPr="00BE00C7">
              <w:rPr>
                <w:rFonts w:cs="Arial"/>
                <w:b w:val="0"/>
                <w:lang w:eastAsia="en-NZ"/>
              </w:rPr>
              <w:t>Monitoring sheets are completed by staff in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restraint use is evaluated regularly. Consents and evaluation forms are signed by the GP and by the resident or their families. The evaluation form includes the effectiveness of the restraint and the risk management plans documented in the long term care plans. Staff are involved in the review of the restraints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monitored the use of restraint in relation to the risk management plan in place. The restraint coordinator reviews the restraint in use to reduce the use of restraint. The service complied with the policies and procedures in relation to the use of restraints and enablers. The resident using a restraint reported that feedback was obtained regarding the restraint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21"/>
        <w:gridCol w:w="1280"/>
        <w:gridCol w:w="2831"/>
        <w:gridCol w:w="2723"/>
        <w:gridCol w:w="29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developed short term care plans that are sufficiently detailed to address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the long term care plans are insufficiently detailed to address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in the long term care plans are sufficiently detailed to address the desired goals/outcomes.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Ripponburn Holdings Limited - Ripponburn Home and Hospital</w:t>
    </w:r>
    <w:bookmarkEnd w:id="58"/>
    <w:r>
      <w:rPr>
        <w:rFonts w:cs="Arial"/>
        <w:sz w:val="16"/>
        <w:szCs w:val="20"/>
      </w:rPr>
      <w:tab/>
      <w:t xml:space="preserve">Date of Audit: </w:t>
    </w:r>
    <w:bookmarkStart w:id="59" w:name="AuditStartDate1"/>
    <w:r>
      <w:rPr>
        <w:rFonts w:cs="Arial"/>
        <w:sz w:val="16"/>
        <w:szCs w:val="20"/>
      </w:rPr>
      <w:t>22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