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Briargate Healthcare Limited - Briargate Dementia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Briargate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Briargate Dementia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August 2016</w:t>
      </w:r>
      <w:bookmarkEnd w:id="7"/>
      <w:r w:rsidRPr="009418D4">
        <w:rPr>
          <w:rFonts w:cs="Arial"/>
        </w:rPr>
        <w:tab/>
        <w:t xml:space="preserve">End date: </w:t>
      </w:r>
      <w:bookmarkStart w:id="8" w:name="AuditEndDate"/>
      <w:r w:rsidR="00A4268A">
        <w:rPr>
          <w:rFonts w:cs="Arial"/>
        </w:rPr>
        <w:t>25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Briargate Dementia Care Unit (Briargate) is one of three facilities owned and operated privately by the same owners. Briargate provides secure care for up to 40 residents with dementia.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the review of documentation, observations and interviews. The onsite documentation review included a selected number of residents’ files. Interviews were conducted with the owner/directors, facility manager, clinical and non-clinical staff, residents and family/whanau. Residents were not able to respond to all questions asked owing to their short term memory loss. Neither the general practitioner nor nurse practitioner were available for interview on the days of audit. The audit report is an evaluation of the combined evidence on how the service meets each of the standards. </w:t>
      </w:r>
    </w:p>
    <w:p w:rsidRPr="00A4268A">
      <w:pPr>
        <w:spacing w:before="240" w:line="276" w:lineRule="auto"/>
        <w:rPr>
          <w:rFonts w:eastAsia="Calibri"/>
        </w:rPr>
      </w:pPr>
      <w:r w:rsidRPr="00A4268A">
        <w:rPr>
          <w:rFonts w:eastAsia="Calibri"/>
        </w:rPr>
        <w:t xml:space="preserve">There were no areas identified for improvement at this audit. Activities are a strength of the service and have gained a higher than usual (continuous improvement) rating.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were two residents whom identify as Maori residing at the service at the time of audit.  There are no known barriers to residents accessing the service.  Services are planned to respect the care required,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families/whanau,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the requirements of the Code.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owner/directors are actively involved in the management of Briargate and have responsibility for quality and risk management processes. The facility manager, who is a registered nurse, oversees and is responsible for all clinical care. They are suitably experienced and qualified for the role and supported by two registered nurses.</w:t>
      </w:r>
    </w:p>
    <w:p w:rsidRPr="00A4268A">
      <w:pPr>
        <w:spacing w:before="240" w:line="276" w:lineRule="auto"/>
        <w:rPr>
          <w:rFonts w:eastAsia="Calibri"/>
        </w:rPr>
      </w:pPr>
      <w:r w:rsidRPr="00A4268A">
        <w:rPr>
          <w:rFonts w:eastAsia="Calibri"/>
        </w:rPr>
        <w:t xml:space="preserve">Facility structures and processes are monitored at organisational level. Service performance is aligned with the organisation`s philosophy and goals identified in the quality and risk plan. </w:t>
      </w:r>
    </w:p>
    <w:p w:rsidRPr="00A4268A">
      <w:pPr>
        <w:spacing w:before="240" w:line="276" w:lineRule="auto"/>
        <w:rPr>
          <w:rFonts w:eastAsia="Calibri"/>
        </w:rPr>
      </w:pPr>
      <w:r w:rsidRPr="00A4268A">
        <w:rPr>
          <w:rFonts w:eastAsia="Calibri"/>
        </w:rPr>
        <w:t>The service has a documented quality and risk management system that supports the provision of safe clinical care and support. Policies are reviewed and maintained by an off-site provider and maintained to meet all legislative and standard requirements. The policies and procedures are personalised for Briargate and documented to guide staff on all aspects of service delivery.</w:t>
      </w:r>
    </w:p>
    <w:p w:rsidRPr="00A4268A">
      <w:pPr>
        <w:spacing w:before="240" w:line="276" w:lineRule="auto"/>
        <w:rPr>
          <w:rFonts w:eastAsia="Calibri"/>
        </w:rPr>
      </w:pPr>
      <w:r w:rsidRPr="00A4268A">
        <w:rPr>
          <w:rFonts w:eastAsia="Calibri"/>
        </w:rPr>
        <w:t>All aspects of service are reviewed by the quality committee quarterly and a major annual review is undertaken at senior management level.  Both onsite and off-site trending and benchmarking occurs. The adverse event reporting system is planned and coordinated with staff documenting and reporting adverse, unplanned or untoward events. Family/whanau confirmed they are kept fully informed at all times.</w:t>
      </w:r>
    </w:p>
    <w:p w:rsidRPr="00A4268A">
      <w:pPr>
        <w:spacing w:before="240" w:line="276" w:lineRule="auto"/>
        <w:rPr>
          <w:rFonts w:eastAsia="Calibri"/>
        </w:rPr>
      </w:pPr>
      <w:r w:rsidRPr="00A4268A">
        <w:rPr>
          <w:rFonts w:eastAsia="Calibri"/>
        </w:rPr>
        <w:t xml:space="preserve">Systems for human resources management are established and implemented. The education programme for staff is available and planned for the year. Training to meet contractual requirements for clinical staff who work in the dementia unit is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are admitted by a qualified and trained registered nurse who completes an initial assessment and then develops, with the resident, family and existing community supports and health care professionals, a care plan specific to the resident.  When there are changes to the resident’s needs a short term plan is developed and integrated into a long term plan, as needed.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 nurse practitioner (NP) on admission and assessed thereafter either monthly or three monthly by the NP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displayed. Ongoing maintenance and compliance is well documented with timelines being met. Routine safety checks and internal audits are performed by the facility manager and one of the owner/directors who oversees all maintenance.</w:t>
      </w:r>
    </w:p>
    <w:p w:rsidRPr="00A4268A">
      <w:pPr>
        <w:spacing w:before="240" w:line="276" w:lineRule="auto"/>
        <w:rPr>
          <w:rFonts w:eastAsia="Calibri"/>
        </w:rPr>
      </w:pPr>
      <w:r w:rsidRPr="00A4268A">
        <w:rPr>
          <w:rFonts w:eastAsia="Calibri"/>
        </w:rPr>
        <w:t>All bedrooms are single occupancy and have ensuite toilet and hand basin facilities. There are adequate shower and bathing facilities located throughout the facility that provide privacy.</w:t>
      </w:r>
    </w:p>
    <w:p w:rsidRPr="00A4268A">
      <w:pPr>
        <w:spacing w:before="240" w:line="276" w:lineRule="auto"/>
        <w:rPr>
          <w:rFonts w:eastAsia="Calibri"/>
        </w:rPr>
      </w:pPr>
      <w:r w:rsidRPr="00A4268A">
        <w:rPr>
          <w:rFonts w:eastAsia="Calibri"/>
        </w:rPr>
        <w:t xml:space="preserve">The environment is appropriate for secure dementia care services, minimises risk of harm and promotes safe mobility. All areas ensure physical privacy is maintained and have adequate space and amenities to facilitate independence. There are processes in place to protect residents, visitors, and staff from exposure to waste and infectious or hazardous substances. </w:t>
      </w:r>
    </w:p>
    <w:p w:rsidRPr="00A4268A">
      <w:pPr>
        <w:spacing w:before="240" w:line="276" w:lineRule="auto"/>
        <w:rPr>
          <w:rFonts w:eastAsia="Calibri"/>
        </w:rPr>
      </w:pPr>
      <w:r w:rsidRPr="00A4268A">
        <w:rPr>
          <w:rFonts w:eastAsia="Calibri"/>
        </w:rPr>
        <w:t>Laundry and cleaning services meet all standard requirements. Chemicals are securely stored.</w:t>
      </w:r>
    </w:p>
    <w:p w:rsidRPr="00A4268A">
      <w:pPr>
        <w:spacing w:before="240" w:line="276" w:lineRule="auto"/>
        <w:rPr>
          <w:rFonts w:eastAsia="Calibri"/>
        </w:rPr>
      </w:pPr>
      <w:r w:rsidRPr="00A4268A">
        <w:rPr>
          <w:rFonts w:eastAsia="Calibri"/>
        </w:rPr>
        <w:t xml:space="preserve">The facility had an appropriate call system installed. There is easy access to secure external gardens.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commitment to the non-use of restraint or enablers. This has been maintained since the previous audit. Clear definitions of restraint and enablers are shown in the policy reviewed and staff reported a good knowledge and understanding of what needs to occur should restraint ever been required. The staff are well versed in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There has been an infection outbreak since the previous audit.  The outbreak was managed and met all legislative and standard requirements.   The infection surveillance results are reported and discussed at staff and residents’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4"/>
        <w:gridCol w:w="1280"/>
        <w:gridCol w:w="97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staff and visitors and evidenced as discussed again in family meetings.</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daily van trips and the attending of different community churches and special events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sighted identified the required procedures are being followed. The complaints register records the complaints, dates, actions taken and date of resolution. Complaints are actively managed in a timely manner and in accordance with the complaints policy, and any other statutory requirements relevant to the specific situation. </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information is included in resident information packs given on admission, and as confirmed by the facility manager, the process was discussed with family/whanau and residents as part of the admission process. This is confirmed in family/whanau interviews.</w:t>
            </w:r>
          </w:p>
          <w:p w:rsidR="00EB7645" w:rsidRPr="00BE00C7" w:rsidP="00BE00C7">
            <w:pPr>
              <w:pStyle w:val="OutcomeDescription"/>
              <w:spacing w:before="120" w:after="120"/>
              <w:rPr>
                <w:rFonts w:cs="Arial"/>
                <w:b w:val="0"/>
                <w:lang w:eastAsia="en-NZ"/>
              </w:rPr>
            </w:pPr>
            <w:r w:rsidRPr="00BE00C7">
              <w:rPr>
                <w:rFonts w:cs="Arial"/>
                <w:b w:val="0"/>
                <w:lang w:eastAsia="en-NZ"/>
              </w:rPr>
              <w:t>Complaints forms are accessible to staff, residents and family/whanau as required. Advocacy service contact numbers are included in information given. This was verified in one complaint of a minor nature made being presented by the local Health and Disability advocate on behalf of the resident. The service investigated the complaint and a resolution was gained with no follow up required. There are no outstanding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that were interviewed reported that the Code was explained to them on admission.   The Code of Rights and process was also regularly discussed at family/resident meetings. Family/whanau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nurse manager reported that there are no barriers to Maori accessing the service.  At the time of the audit there were two Maori residents whom affiliated with their Maori culture.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facility manager, registered nurses, care givers and in care planning.  Policies and procedures are linked to evidence-based practice. There are regular visits by residents’ nurse practitioner,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two residents did not speak English and eight residents had identified English as their second language.  The majority of the families interpreted when required with staff managing well with hand gestures, word/picture cards and body language.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39 dementia care residents.</w:t>
            </w:r>
          </w:p>
          <w:p w:rsidR="00EB7645" w:rsidRPr="00BE00C7" w:rsidP="00BE00C7">
            <w:pPr>
              <w:pStyle w:val="OutcomeDescription"/>
              <w:spacing w:before="120" w:after="120"/>
              <w:rPr>
                <w:rFonts w:cs="Arial"/>
                <w:b w:val="0"/>
                <w:lang w:eastAsia="en-NZ"/>
              </w:rPr>
            </w:pPr>
            <w:r w:rsidRPr="00BE00C7">
              <w:rPr>
                <w:rFonts w:cs="Arial"/>
                <w:b w:val="0"/>
                <w:lang w:eastAsia="en-NZ"/>
              </w:rPr>
              <w:t>The strategic plan for 2016 contains the organisation’s mission, values and goals. There are long term and short term goals within the plan. The plan is reviewed on an annual basis as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with over 20 years’ experience in aged care with 10 years of this being in management positions. They have worked in dementia care for over four years. The facility manager’s job description describes their responsibilities, accountabilities and authorities. The facility manager has attended over eight hours of education in the past 12 months related to leadership and management in the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supported by two RNs and the two owner/directors. One owner/director is on site most days with the responsibility for finance and the other owner/director undertakes and oversees all maintenance issues. One owner/director attends all senior staff meetings and the quarterly quality review meetings so that there is awareness of all current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confirmed they were satisfied with the services provided and that resident needs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facility manager is away the most senior RN undertakes this role. During interview the RN stated they are aware of what is required and that they can seek help and assistance from other senior clinical staff from one of the organisation’s sister facilities if required. The owner/directors are always available via telephone if they are not on site. The facility manager reports the RN will receive ongoing support and education related to the management side of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plan which details the risks, current controls and ongoing actions undertaken to ensure resident needs are being met and to provide a safe and appropriate environment. The quality and risk systems are monitored quarterly with annual reports being documented and reported on to the owner/directors. One owner/director attends the quarterly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The quality goals identified cover all aspects of care and service delivery. The outcomes of the internal auditing and quality management systems are discussed at the monthly staff meetings. Staff confirmed they understood and implement the quality and risk management systems. One owner/director attends the monthly senior staff meetings, held on the same day as staff meetings,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are developed by an external consultant. All policies and procedures sighted were up to date, reflected current good practice and met legislative requirements. As part of the quality management system, the organisation has a process in place to ensure all documents are reviewed at least two yearly. The document control system ensures that obsolete documents were removed from use. The review of policies or any updates are distributed to staff to read so they are aware of any required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risk management plan identified risks and showed the strategies in place to manage risks. All potential and actual risks are reported at senior staff level and reviewed at the quarterly quality meetings. Clinical risks are discussed monthly at staff meetings as confirmed during staff interviews.  There was an up to date hazard register and the process for reporting hazards was understood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Quality improvements are put in place where indicated. When the internal audit or quality data indicates any shortfalls, corrective actions are put in place. The internal audit form records the identified issue, actions needed, who is to implement the actions and the review of when the actions have been implemented. Staff confirmed that all follow up actions were discussed during handover and at staff meetings. For example, following a recent infection outbreak the follow up actions were documented and implemented as per the public health service visitor’s advice. Quality data is collected, trended, reviewed and evaluated for all key components of service (complaints, incidents and accidents, health and safety, hazards, restraint and infection control). The graphs and analysis of the quality data identifies any trends.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falls, challenging behaviour, hospital admissions and incident accident data is benchmarked against other like services and data sighted shows that Briargate remains in the lower sector of percentages shown. Medication management data is also benchmarked electronically with monthly printouts sighted. Follow up actions had been fully implemented and resolved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report that they are kept informed of what is happening at the facility during quarterly open forum meetings and via email or telephone.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their obligations for reporting serious harm and essential notifications. Two notifications were sighted, one related to an infection outbreak and one serious harm following a fall.  The facility manager reported they understood the need to use section 31 reporting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complete incident and accident forms for adverse events and always report this to senior staff. There is a monthly analysis of the incident and accident reports. The analysis of the incidents and accidents are used to implement improvements as indicated. The analysis includes the numbers of falls and the times that falls are occurring. For residents who have had increased falls, strategies are implemented to reduce the number of falls. </w:t>
            </w:r>
          </w:p>
          <w:p w:rsidR="00EB7645" w:rsidRPr="00BE00C7" w:rsidP="00BE00C7">
            <w:pPr>
              <w:pStyle w:val="OutcomeDescription"/>
              <w:spacing w:before="120" w:after="120"/>
              <w:rPr>
                <w:rFonts w:cs="Arial"/>
                <w:b w:val="0"/>
                <w:lang w:eastAsia="en-NZ"/>
              </w:rPr>
            </w:pPr>
            <w:r w:rsidRPr="00BE00C7">
              <w:rPr>
                <w:rFonts w:cs="Arial"/>
                <w:b w:val="0"/>
                <w:lang w:eastAsia="en-NZ"/>
              </w:rPr>
              <w:t>The annual quality review undertaken February 2016 identified that some staff required a more in-depth knowledge of challenging behaviour management. Additional education was presented in March and June 2016 to ensure all staff gained a greater knowledge and understanding of challenging behaviour management. This was confirmed in documentation sighted and during staff interviews. Family/whanau interviewed were able to reported examples of staff managing challenging behaviour situations very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which was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 that good employment processes are implemented, such as recruitment, interview, police vetting and reference checking. Annual performance reviews are up to date in the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requires all staff to complete an orientation and induction programme which is clearly documented. There is an initial two-day orientation that all new staff complete, then role specific orientation for the different roles within the services. The initial general orientation covers a wide variety of aspects including emergency management, handling concerns and complaints, cultural best practice, infection control, waste management, keeping the environment safe, confidentiality, privacy, informed consent, incidents/accident reporting, managing challenging behaviours and the non-restraint minimisation policy.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covers the essential components of service delivery for dementia level of care. The service also accesses ongoing education support from the DHB aged residential care programme, gerontology nurse specialists and community mental health services. The care staff either hold or are working towards educational qualifications related to national unit standards for dementia care to ensure contractual requirements are met. Attendance records are kept for the education that staff have attended, as sighted in each of the staff member’s personnel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both RNs have completed their interRAI training and maintain their competencies. Certificates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are supported and encouraged with maintaining their knowledge and skills and that any areas of additional training they require are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secure dementia level of care. There is at least one RN on duty each morning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caregivers work eight hours and one works six hours each morning, four caregivers work eight hour afternoon shifts with a five and half hour short shift. Two caregivers work eight hour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activities, cleaning and laundry staff seven days a week.  There is at least one staff member on duty each shift who has current first aid qualifications and who holds completed specific dementia care qualification.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adequate time to do their required work and all staff assist in implementing meaningful activities for the residents throughout their shifts. This was observed both days of audit. Refer comments in standard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and resident interviews confirmed staff remain visible and available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medical and auxiliary staff notes. The files were being kept secure and only accessible to authorised people. On the day of admission all relevant information is entered into the resident's file by the RN following an initial assessment and medical examination by the NP. The date of admission, full and preferred name, next of kin, date of birth, gender, ethnicity/religion, NHI, the name of the GP/NP, authorised power of attorney, allergies, next of kin and phone numbers were all completed in each resident’s record reviewed. No personal or private resident information was observed to be on public display during the days of audit.  Archived records were being safely held on site for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nurse manager if enquiries are made by potential perspective residents and/or their family members and if outside working hours staff are guided by facility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no residents were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is locked when not occupied.  A locked safe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charting and management system.  The 14 medicine charts sighted have been reviewed by the NP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designated care staff responsible for medicine management.  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NP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a main option for lunch including a desert and a lighter menu option for dinner also supporting individual residents with different cultural food needs.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the adjacent dining room.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specific assessment tools for all residents.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nurse manager,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choices/cultural preferences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diversional therapist who works Monday – Friday, a total of 40 hours per week and attends regular education/support group sessions related to his role.   This role is supported by a trainee diversional therapist who works three days a week, a total of 16 hours per week.  The weekly activities plan/calendar sighted is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boards through the facility.   Regular activities include daily newspaper reading and exercises, church services, regular visiting entertainment and includes daily weekly van trips.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NP and family/whanau.  Short term care plans are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nurse practitioner who visits the residents at the facility which also includes an on call component.  The RN in discussion with the NP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NP was unavailable at the time of audit but it is reported by the RN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undertakes appropriate storage and disposal of waste, infectious and/or hazardous substances to comply with current legislation and to ensure visitors and residents are protected from harm. The facility actively recycles plastics and cardboard.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equipment/clothing (PPE) sighted includes disposable gloves and aprons, goggles and masks. Staff confirm they can access PPE at any time and they can verbalise appropriate use. Staff were observed wearing disposal gloves and aprons as required.  Sanitising hand gel is provided at the entrance to the facility and visitors were sighted using this pre and post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yellow sharp bins sighted are used for the safe disposal of sharps.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processes are undertaken as required to maintain the service building warrant of fitness.  This is confirmed in documentation sighted. The current warrant of fitness expires on 23 January 2017. An exterior and interior maintenance schedule is sighted for 2016. Electrical testing occurred on 09 May 2016. Biomedical and medical equipment were checked by an approved provider in August 2016. Regular controls checks were also sighted for fridges, chiller, washing machines, dryer, heat pumps and the dishwasher.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monthly maintenance is undertaken and there is a process for reactive maintenance. Staff and family/whanau confirm any maintenance issued raised are dealt with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the correct use of mobility aids and walking areas not being cluttered. Corridors have safety handrails to assist residents to mobilise safely.  Residents who have mobility difficulties are assessed by a physiotherapist and appropriate walking aids are obtained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secure outdoor areas with seating and appropriate shaded areas. On both days of audit, residents were observed going outdoors as they wished.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residents and family/whanau confirm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toilet and hand basin ensuites. Shower areas are centrally located in each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recording sighted show that they remain within safe limits and remain under 45oC.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staff and visitor toilet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As observed, and confirmed by family/whanau, bedroom areas are personalised to meet residents' wants and needs and are large enough to enough to allow residents with or without mobility aids to move around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Residents who choose to keep their bedroom doors locked when they are not in their bedrooms are able to do so and there is a master key available to staff to allow cleaning and entry to rooms when required. The doors cannot be locked from the inside.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provides safe, age appropriate and accessible areas to meet resident’s needs. There are two lounge areas and one dining area. They are all separate rooms.  All areas are appropriately furnished.  Both lounge areas are used for activities as observed on the days of audit. There is a conservatory off one lounge which is used mostly by family/whanau members when they visit their relatives. The door can be closed to allow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and residents interviewed confirm their satisfaction with the facilities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undertaken as described in policy and according to the job description sighted. This covers required daily tasks and the laundry and cleaning staff interviews confirm they have the appropriate equipment and time to complete all tasks. Staff verbalise their understanding of isolation techniques and knowledge of documented laundry and cleaning process related to outbreak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premixed and on automatic feed as appropriate. They are closely monitored by the supplier to ensure they products are effective. This is confirmed by documentation sighted and by the laundry staff member during interview. Laundry and cleaning staff have completed safe chemical handling education in the past 12 months. All chemicals sighted are appropriately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clean/dirty flow, with adequate equipment for the size of the facility. Cleaning trolleys are securely stored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Interviews family/whanau confirm they are satisfied with laundry and cleaning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emergency evacuation plan signed off by the New Zealand Fire Service is dated 27 February 2012. There have been no changes to the facility foot print since this time. Six monthly trial fire evacuations are conducted. This was last undertaken in May 2016 with no follow up required. Fire equipment annual checks occurred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related to emergency management occurred in February 2016 this includes a quiz which was completed by all staff. All clinical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and emergency supplies, including food and water, are checked regularly. There are gas cooking facilities available. First aid boxes are kept in the nurses’ clinic and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When activated there is an audible noise and a LED ceiling display to show where the bell has been activated from. Call bells are checked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doors and windows are securely closed at night. Staff report during interview they feel secure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areas have at least one opening window to allow natural light and ventilation. Heating is electric with a wall mounted, thermostatically controlled heater in all resident bedrooms. There are electric heat pumps in both lounge areas.</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warm on the days of audit. No negative comments were received during interview related to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infection control coordinator and is responsibility for following the programme as defined in the infection control manual.  Infections are monitored by using standardised definitions to identify infections, surveillance, observing changes in behaviours, monitoring of organisms related to antibiotic use and the monthly surveillance record.  Infection control is discussed at each staff meetings.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communication book, one to one, at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NP.  The infection control coordinator regularly attends infection control educations.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cleaning disinfecting and sterilisation, waste management, construction and renovations.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technique of staff is reviewed regularly by the registered nurse.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skin and soft tissue wounds, pressure injuries, urinary tract infections, bronchitis, pneumonia, colds, flu, oral, eyes, ear, gastroenteritis infections, scabies, methicillin-resistant staphylococcus aureus (MRSA), extended spectrum beta-lactamases (ESBL), vancomycin-resistant enterococcus (VRE), and clostridium difficile.  Antibiotic use is also monitored.  The monthly analysis of the infections includes comparison with the previous month, reason for increase or decrease, trends and actions taken to reduce infections.  This information is fed back and discussed in staff and where appropriate family meetings.  An external contractor benchmarks surveillance data with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The Public Health office was notified on the 28 July 2016 regarding a gastroenteritis outbreak.  Twenty (20) residents and 11 staff were affected.  A plan was developed that included a public health service person visit on site, isolation of residents/staff, and health warning signs/communication were put in place.  Cleaning, laundry and personal hygiene were emphasized.  The facility was reopened on the 7 August 2016.  A corrective action plan was sighted meeting all legislation and standard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non-restraint policy. No restraint has been used since the previous audit as confirmed in staff meeting minutes and the quarterly quality review which includes restraint. Policy clearly identified that enabler use is voluntary and the least restrictive option to maintain the resident’s independence and safety. All required assessment, reporting and review processes are contained in policy in the event of restraint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(RN) is the delegated restraint coordinator with relevant authorities and responsibilities shown in the job description. The restraint coordinator was knowledgeable about the correct restraint process required should restraint be used. Staff demonstrated good knowledge regarding restraint. They verbalised their understanding of de-escalation techniques when managing challenging behaviour so that no restraint is required. All staff were trained/educated regarding the restraint policy and procedures as well as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853"/>
        <w:gridCol w:w="39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continues to be reviewed and improved upon with review on a monthly basis.  As a result new initiatives and activities are introduced regularly that are of specific interest and culture value to residents with support of family members.   Evaluations of resident and family surveys of the activities programme show increased satisfaction since the previous audit. A monthly summary is completed for all residents related to the activities offered and comparisons are made with the previous month which includes review and evaluation of all the specific and individual events and activities that have occurred. There is documented evidence of the reasoning behind why these activities have or have not been supported.   Residents who attend are documented, however a comment is also made about residents that did not participate and the reasons why, or why residents participated at different levels and what other options were explored and the outcome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for the specific detail documented to show how activities are implemented to ensure all resident likes, dislikes and strengths are met. Specific detail is given to cultural activities to meet the cultural diversity of residents. Resident physical acuity levels and mental abilities are considered when activities are planned and presented. The activities plan is a living document and is changed to match resident needs. The resident satisfaction with activities is measurable in the resident and family satisfaction survey results.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Briargate Healthcare Limited - Briargate Dementia Care Unit</w:t>
    </w:r>
    <w:bookmarkEnd w:id="58"/>
    <w:r>
      <w:rPr>
        <w:rFonts w:cs="Arial"/>
        <w:sz w:val="16"/>
        <w:szCs w:val="20"/>
      </w:rPr>
      <w:tab/>
      <w:t xml:space="preserve">Date of Audit: </w:t>
    </w:r>
    <w:bookmarkStart w:id="59" w:name="AuditStartDate1"/>
    <w:r>
      <w:rPr>
        <w:rFonts w:cs="Arial"/>
        <w:sz w:val="16"/>
        <w:szCs w:val="20"/>
      </w:rPr>
      <w:t>24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