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Queen Rose Retirement Home Limited - Queen Rose Retirement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Queen Rose Retirement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Queen Rose Retirement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June 2016</w:t>
      </w:r>
      <w:bookmarkEnd w:id="7"/>
      <w:r w:rsidRPr="009418D4">
        <w:rPr>
          <w:rFonts w:cs="Arial"/>
        </w:rPr>
        <w:tab/>
        <w:t xml:space="preserve">End date: </w:t>
      </w:r>
      <w:bookmarkStart w:id="8" w:name="AuditEndDate"/>
      <w:r w:rsidR="00A4268A">
        <w:rPr>
          <w:rFonts w:cs="Arial"/>
        </w:rPr>
        <w:t>29 June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Queen Rose Rest Home provides residential services for people requiring rest home level care.  All of the 23 beds were occupied on the day of the audit.  The manager who has aged care experience has owned the service since 1985. </w:t>
      </w:r>
    </w:p>
    <w:p w:rsidRPr="00A4268A">
      <w:pPr>
        <w:spacing w:before="240" w:line="276" w:lineRule="auto"/>
        <w:rPr>
          <w:rFonts w:eastAsia="Calibri"/>
        </w:rPr>
      </w:pPr>
      <w:r w:rsidRPr="00A4268A">
        <w:rPr>
          <w:rFonts w:eastAsia="Calibri"/>
        </w:rPr>
        <w:t xml:space="preserve">The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Residents and family interviewed praised the service for the support provided.  </w:t>
      </w:r>
    </w:p>
    <w:p w:rsidRPr="00A4268A">
      <w:pPr>
        <w:spacing w:before="240" w:line="276" w:lineRule="auto"/>
        <w:rPr>
          <w:rFonts w:eastAsia="Calibri"/>
        </w:rPr>
      </w:pPr>
      <w:r w:rsidRPr="00A4268A">
        <w:rPr>
          <w:rFonts w:eastAsia="Calibri"/>
        </w:rPr>
        <w:t>Improvements are required around neurological observations, training for the infection control coordinator, pain assessments, wound documentation, care plan documentation and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staff at Queen Rose Rest Home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services is easily accessible to residents and families.  Information on informed consent is provided and discussed with residents and relatives.  Staff interviewed are familiar with processes to ensure informed consent.  Complaints policies and procedures meet requirements and residents and families are aware of the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 owner is the manager who is supported by long serving staff and a registered nurse.</w:t>
      </w:r>
    </w:p>
    <w:p w:rsidRPr="00A4268A">
      <w:pPr>
        <w:spacing w:before="240" w:line="276" w:lineRule="auto"/>
        <w:rPr>
          <w:rFonts w:eastAsia="Calibri"/>
        </w:rPr>
      </w:pPr>
      <w:r w:rsidRPr="00A4268A">
        <w:rPr>
          <w:rFonts w:eastAsia="Calibri"/>
        </w:rPr>
        <w:t xml:space="preserve">Organisational performance is monitored through a number of processes to ensure it aligns with the identified values, scope and strategic direction.  The business plan has goals documented.  Policies and procedures provide appropriate support and care to residents with rest home level needs and a documented quality and risk management programme that is implemented.  </w:t>
      </w:r>
    </w:p>
    <w:p w:rsidRPr="00A4268A">
      <w:pPr>
        <w:spacing w:before="240" w:line="276" w:lineRule="auto"/>
        <w:rPr>
          <w:rFonts w:eastAsia="Calibri"/>
        </w:rPr>
      </w:pPr>
      <w:r w:rsidRPr="00A4268A">
        <w:rPr>
          <w:rFonts w:eastAsia="Calibri"/>
        </w:rPr>
        <w:t xml:space="preserve">Staff receive ongoing training and there is a training plan developed and commenced for 2016.  Rosters and interviews indicate sufficient staff that are appropriately skilled with flexibility of staffing around client’s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and a baseline assessment is completed upon admission. The care plans are resident and goal orientated.  Input from the resident/family is evident in the service delivery.  Files sampled identified integration of allied health and a team approach is evident in the overall resident file. There is a three monthly general practitioner review.  Residents and family interviewed confirmed that they were happy with the care provided and the communication.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and residents advised satisfaction with the activities programme.  </w:t>
      </w:r>
    </w:p>
    <w:p w:rsidRPr="00A4268A" w:rsidP="00621629">
      <w:pPr>
        <w:spacing w:before="240" w:line="276" w:lineRule="auto"/>
        <w:rPr>
          <w:rFonts w:eastAsia="Calibri"/>
        </w:rPr>
      </w:pPr>
      <w:r w:rsidRPr="00A4268A">
        <w:rPr>
          <w:rFonts w:eastAsia="Calibri"/>
        </w:rPr>
        <w:t xml:space="preserve">There is a secure electronic medication system at the facility. </w:t>
      </w:r>
    </w:p>
    <w:p w:rsidRPr="00A4268A" w:rsidP="00621629">
      <w:pPr>
        <w:spacing w:before="240" w:line="276" w:lineRule="auto"/>
        <w:rPr>
          <w:rFonts w:eastAsia="Calibri"/>
        </w:rPr>
      </w:pPr>
      <w:r w:rsidRPr="00A4268A">
        <w:rPr>
          <w:rFonts w:eastAsia="Calibri"/>
        </w:rPr>
        <w:t>Residents' food preferences and dietary requirements are identified at admission and all meals cooked on site. The kitchen is well equipped for the size of the service.  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Chemicals are stored safely throughout the facility.  Appropriate policies are available along with product safety charts.  The building holds a current warrant of fitness.  Resident rooms are spacious with an adequate number of shower and toilet facilities for the number of residents.  There is wheelchair access to all areas.  External areas are safe and well maintained.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approved evacuation scheme and emergency supplies for at least three days.  All staff hold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actively minimises the use of restraint.  All staff receive training on restraint minimisation and management of behaviours that challenge.  There are no residents using enablers and no residents using restraint.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Infections are reported by staff and residents and monitored through the infection control surveillance programme by the infection control officer (the manager – a registered nurse).  There are infection prevention and control policies, procedures and a monitoring system in place.  Training of staff and information to residents is delivered regularly.  Infections are monitored and evaluated for trends and discussed at staff meetings.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6</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58"/>
        <w:gridCol w:w="1280"/>
        <w:gridCol w:w="87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(one registered nurse, four caregivers and the activities officer) confirmed their familiarity with Health and Disability Commissioner (HDC) Code of Health and Disability Services Consumers' Rights (the Code).  Six residents and four family members interviewed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implemented.  Systems are in place to ensure residents and where appropriate their family/whānau, are provided with appropriate information to make informed choices and informed decisions.  The caregivers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An informed consent form is utilised by the service provider and is retained in individual resident`s records (reviewed).  Additional forms, for example for annual influenza vaccinations are in the records.  Forms are signed and dated appropriately.  All resident files sampled had resuscitation orders however, the general practitioner had not signed all of them.</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understood the obligations and legislative requirement to ensure competency of residents as required for advance directives and advance care planning.  Resident reviews were undertaken six monthly.  Reviews of individual residents health status was documented and was retained in personal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have a documented advocate if they cannot self-advocate.  Contact numbers for advocacy services are in advocacy pamphlets available in the entrance.  Residents’ meetings include actions taken (if any) before addressing new items.  Discussions with relatives identified that the service provides opportunities for the family/EPOA to be involved in decisions.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visiting could occur at any time.  Key people involved in the resident’s life have been documented in the resident files.  Residents verified that they have been supported and encouraged to remain involved in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procedures have been implemented and residents and their family/whānau are provided with information on admission.  Complaint forms are easily accessible to residents and family.  Residents and families interviewed were aware of the complaints process and to whom they should direct complaints, and how to access forms.  Four complaints reviewed for 2016 demonstrated comprehensive investigation and responses to the complainant and feedback to staff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 the Code, complaints and advocacy, in formats suitable for people with intellectual disabilities.  Information is given to the family or the enduring power of attorney (EPOA) to read to and/or discuss with the resident.  Resident meetings and surveys provide the opportunity to raise concerns.  Advocacy and code of rights information is included in the information pack and are available at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procedures for maintaining confidentiality of resident records, resident’s privacy and dignity.  At the commencement of employment, staff sign golden rules and the service code of conduct.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attend church if they wish.  Residents and relatives interviewed reported that residents are able to choose to engage in activities and access community resources.  There is an abuse and neglect policy and staff education around this has occurred.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Māori heath plan and an individual’s values and beliefs policy, which includes cultural safety and awareness.  No residents identify as Māori; cultural needs are addressed in care plans as needed.  Discussions with staff confirmed their understanding of the different cultural needs of residents and their whānau.  Staff confirmed they are aware of the need to respond appropriately to maintain cultural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and activities goal-setting includes consideration of spiritual, psychological and social needs.  Residents and family members interviewed indicated that they are asked to identify any spiritual, religious and/or cultural beliefs.  Relatives reported that they feel they are consulted and kept informed, and family involvement is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golden (house) rules.  Job descriptions include responsibilities of the position and ethics, advocacy and legal issues.  The orientation programme provided to staff on induction includes an emphasis on dignity, privacy and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with needs relating to resident at rest home level care.  The quality programme has been designed to monitor contractual and standards compliance, and the quality of service delivery in the facility.  Staffing policies include pre-employment, and the requirement to attend orientation and ongoing in-service training.  The registered nurse is responsible for coordinating the internal audit programme.  Staff meetings and residents meetings are conducted.  </w:t>
              <w:br/>
              <w:t xml:space="preserve">Residents and relatives interviewed spoke very positively about the care and support provided.  All caregivers complete competencies relevant to their practice and have completed the national certificate in elderly care or level three Careerforce.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stated they are informed of changes in health status and incidents/accidents.  This was confirmed on five incident forms reviewed and resident files.  Resident meetings occur and the registered nurse and the owner/manager have an open-door policy.  Residents and family are advised in writing of their eligibility and the process to become a subsidised resident should they wish to do so.  The service has policies and procedures available for access to interpreter services for residents (and their family).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Queen Rose Rest Home provides residential services for residents requiring rest home level care.  On the day of the audit, there were 23 residents, 22 under the Aged Residential Care contract and one younger person (disabled).  The owner who has owned the facility since 1985, manages the organisation.  A full time registered nurse supports him.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goals and direction of the service are well documented in the business plan and the progress toward previous goals has been documented.    </w:t>
            </w:r>
          </w:p>
          <w:p w:rsidR="00EB7645" w:rsidRPr="00BE00C7" w:rsidP="00BE00C7">
            <w:pPr>
              <w:pStyle w:val="OutcomeDescription"/>
              <w:spacing w:before="120" w:after="120"/>
              <w:rPr>
                <w:rFonts w:cs="Arial"/>
                <w:b w:val="0"/>
                <w:lang w:eastAsia="en-NZ"/>
              </w:rPr>
            </w:pPr>
            <w:r w:rsidRPr="00BE00C7">
              <w:rPr>
                <w:rFonts w:cs="Arial"/>
                <w:b w:val="0"/>
                <w:lang w:eastAsia="en-NZ"/>
              </w:rPr>
              <w:t>The owner has maintained eight hours annually of professional development activities related to managing a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reported that in the event of his temporary absence the registered nurse oversees the facility with support from the long-standing caregivers.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and the manager facilitate the quality programme and ensure the internal audit schedules are implemented.  The internal audit schedule is implemented.  Corrective action plans are developed, implemented and signed off when service shortfalls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processes are in place to capture and manage non-compliances.  They include internal audits, hazard management, risk management, incident and accident, and infection control data collection and complaints management.  All quality improvement data is discussed at monthly staff meetings where a comprehensive and resident focussed agenda is discussed.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relevant to the various service types offered and they are reviewed two yearly. These have been updated to include InterRAI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There is a current risk management plan.  Hazards are identified and managed and documented on the hazard register.  The manager, who is the designated health and safety officer, has completed training that relates to this role.  Health and safety issues are discussed at every monthly staff meeting with action plans documented to address issues raised.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 surveys conducted and analysed with corrective action plans developed when required.  The most recent during September 2015 recorded that residents are very satisfied.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accident/incident process includes documentation of the incident, and analysis and separation of resident and staff incidents and accidents.  Five incidents sampled for May 2016 demonstrated appropriate documentation however, the service does not document neurological observations following a head injury.  Accidents and incidents are analysed monthly with results discussed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aware of situations that require statutory reporting.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staff files sampled (three caregivers, one registered nurse and one activities coordinator) show appropriate employment practices and documentation.  Current annual practicing certificates are kept on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package provides information and skills around working with residents with aged care related needs and was completed in all staff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in place and implemented.  All five staff files sampled contained a current annual performance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state that staff are knowledgeable and skilled.  </w:t>
            </w:r>
          </w:p>
          <w:p w:rsidR="00EB7645" w:rsidRPr="00BE00C7" w:rsidP="00BE00C7">
            <w:pPr>
              <w:pStyle w:val="OutcomeDescription"/>
              <w:spacing w:before="120" w:after="120"/>
              <w:rPr>
                <w:rFonts w:cs="Arial"/>
                <w:b w:val="0"/>
                <w:lang w:eastAsia="en-NZ"/>
              </w:rPr>
            </w:pPr>
            <w:r w:rsidRPr="00BE00C7">
              <w:rPr>
                <w:rFonts w:cs="Arial"/>
                <w:b w:val="0"/>
                <w:lang w:eastAsia="en-NZ"/>
              </w:rPr>
              <w:t>All staff members have achieved the National Certificate or level three Careerforce in elderly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staffing the service.  Staffing rosters were sighted and staff on duty to match needs of different shifts and needs of different individual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call is provided by the full time RN with assistance from a casual RN for weekends and as needed.  The manager (non RN) is also available on call.  There is also a sleepover security person overnight.  Staff, residents and family interviewed confirmed that staffing levels are adequate.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retains relevant and appropriate information to identify residents and track records.  Files, and relevant resident care and support information can be accessed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are in hard copy and stored where they cannot be accessed by people not authorised to do so.  </w:t>
            </w:r>
          </w:p>
          <w:p w:rsidR="00EB7645" w:rsidRPr="00BE00C7" w:rsidP="00BE00C7">
            <w:pPr>
              <w:pStyle w:val="OutcomeDescription"/>
              <w:spacing w:before="120" w:after="120"/>
              <w:rPr>
                <w:rFonts w:cs="Arial"/>
                <w:b w:val="0"/>
                <w:lang w:eastAsia="en-NZ"/>
              </w:rPr>
            </w:pPr>
            <w:r w:rsidRPr="00BE00C7">
              <w:rPr>
                <w:rFonts w:cs="Arial"/>
                <w:b w:val="0"/>
                <w:lang w:eastAsia="en-NZ"/>
              </w:rPr>
              <w:t>Individual resident files demonstrate service integration.  Medication charts are in a separate folder with medication and this is appropriate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are legible, dated and signed by the relevant staff member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to the service policy includes requirements and procedures to be followed when a resident is admitted to the service.  Admission agreements were signed in all resident’s sampled records.  Admission agreements reflect all the contractual requirements.  Residents and families reported that the admission agreements were discussed with them in detail by the registered nurse (RN).  All residents had the appropriate needs assessments prior to admission to the service.  A handout and pamphlet containing information about the service was sighted.  The RN ensures that residents are admitted to the service as per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to describe guidelines for death, discharge, transfer, documentation and follow-up.  A record is kept and a copy of details is kept on the resident’s file.  All relevant information is documented and communicated to the receiving health provider or service.  Follow-up occurs to check that the resident is settled, or in the case of death, communication with the family is made and this is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uses an electronic system for medication administration.  The staff administering medications complied with the medication administration policies.  Procedures were evidenced in the observed medication round.  Electronic reports were viewed for 10 residents and reports for errors viewed.  Current medication competencies were evidenced in the staff files.  A shortfall was identified around storage of expired medications and the identification of eye drops.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were stored appropriately with the exception of three eye drops containers that were not labelled with the residents name or opening date and expired medications were not stored securely. </w:t>
            </w:r>
          </w:p>
          <w:p w:rsidR="00EB7645" w:rsidRPr="00BE00C7" w:rsidP="00BE00C7">
            <w:pPr>
              <w:pStyle w:val="OutcomeDescription"/>
              <w:spacing w:before="120" w:after="120"/>
              <w:rPr>
                <w:rFonts w:cs="Arial"/>
                <w:b w:val="0"/>
                <w:lang w:eastAsia="en-NZ"/>
              </w:rPr>
            </w:pPr>
            <w:r w:rsidRPr="00BE00C7">
              <w:rPr>
                <w:rFonts w:cs="Arial"/>
                <w:b w:val="0"/>
                <w:lang w:eastAsia="en-NZ"/>
              </w:rPr>
              <w:t>No residents were self-administering medications.  The self-administration policies and procedures were in place.</w:t>
            </w:r>
          </w:p>
          <w:p w:rsidR="00EB7645" w:rsidRPr="00BE00C7" w:rsidP="00BE00C7">
            <w:pPr>
              <w:pStyle w:val="OutcomeDescription"/>
              <w:spacing w:before="120" w:after="120"/>
              <w:rPr>
                <w:rFonts w:cs="Arial"/>
                <w:b w:val="0"/>
                <w:lang w:eastAsia="en-NZ"/>
              </w:rPr>
            </w:pPr>
            <w:r w:rsidRPr="00BE00C7">
              <w:rPr>
                <w:rFonts w:cs="Arial"/>
                <w:b w:val="0"/>
                <w:lang w:eastAsia="en-NZ"/>
              </w:rPr>
              <w:t>In response to the DHB email dated 22 June 2016, the service has implemented an electronic medication system.  This ensures that the ‘as required’ medication and medication review dates are appropriately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meals that meet their food, fluids and nutritional needs.  The RN completes the dietary requirement forms on admission and provides a copy to the kitchen and the external food company.  Residents' food preferences were identified and this included consideration of any particular dietary preferences or needs.  The kitchen folder included a list of resident likes and dislikes.  Residents with special dietary needs had their needs identified in their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food policies/procedures for food services and menu planning.  Food service is supplied by an external food company and is delivered twice a day.  There was a four-week cycle menu with dietitian input obtained by the food supplier.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family members indicated satisfaction with the food service.  The servery was adjacent to the dining room and food was served directly to residents.  Staff were observed assisting residents with their lunchtime meals and drinks. </w:t>
            </w:r>
          </w:p>
          <w:p w:rsidR="00EB7645" w:rsidRPr="00BE00C7" w:rsidP="00BE00C7">
            <w:pPr>
              <w:pStyle w:val="OutcomeDescription"/>
              <w:spacing w:before="120" w:after="120"/>
              <w:rPr>
                <w:rFonts w:cs="Arial"/>
                <w:b w:val="0"/>
                <w:lang w:eastAsia="en-NZ"/>
              </w:rPr>
            </w:pPr>
            <w:r w:rsidRPr="00BE00C7">
              <w:rPr>
                <w:rFonts w:cs="Arial"/>
                <w:b w:val="0"/>
                <w:lang w:eastAsia="en-NZ"/>
              </w:rPr>
              <w:t>Fridge and food temperatures were monitored and recorded daily.  The meals were well presented and residents confirmed that they are provided with alternative meals as per request.  All residents are weighed regularly.  Residents with weight loss problems are provided with food supplements.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policy on decline of entry to the service.  When a potential resident’s entry to the service is declined, they are referred back to the referrer to ensure that they are admitted to the appropriate level of care provider.  The RN reported that the district health board needs assessors and social workers contact the manager to discuss the suitability of the potential resident prior to sending the potential resident’s family to view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utilises standardised risk assessment tools on admission and the InterRAI assessment tool.  Pain assessments were not always completed when required.  InterRAI assessments, assessment notes and summary were in place for three of five resident files reviewed.  The long-term care plans in place reflected the outcome of the assessments.  Cultural, sexuality and intimacy needs have been identified for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sampled were resident-focused and personalised however, care plans did not always document the sufficiently detailed interventions required to meet all current needs.  There is documented evidence of resident and/or family input ensuring a resident focused approach to care.  Residents/relatives confirmed on interview that they are involved in the care planning and review process.  There was evidence of allied healthcare professionals involved in the care of the resident.  Short-term care plans were in use for changes in health status and were evaluated on a regular basis and signed-off as resolved or transferred to the long-term care plan.  Integration of records and monitoring documents are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arranges a GP visit.  There is evidence of three monthly medical reviews or earlier for health status changes.  Residents and relatives interviewed confirmed care delivery and support by staff is consistent with their expectations.  Family confirmed they were kept informed of any changes to resident’s health status.  Family members interviewed expressed satisfaction with the clinical care and that they are involved in the care planning of their family member.  Caregivers interviewed state there is adequate equipment provided including continence and wound care supplies.  On the day of the audit, supplies of these products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four skin tears, two minor wounds and two surgical wounds being treated at the time of the audit.  Wound assessments, treatment plans and regular evaluations had been completed for three current wounds with ongoing evaluations documented.  One current wound had a STCP in place.  The manager/registered nurse interviewed could describe the referral process to a wound specialist or continence nurse.  Progress notes and observation charts were maintained.  Monitoring occurs for weight, vital signs, blood glucose and challenging behaviour.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(short term and long term) document appropriate interventions to manage clinical risk such as poor mobility, falls, skin integrity, and weight loss however, do not always document sufficient interventions to meet all assessed needs (link 1.3.5.2).  Caregivers interviewed confirmed they are updated of any changes in resident’s care or treatment during handover sessions at the beginning of each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an activities coordinator for 30 hours per week.  Activities provided are appropriate to the needs, age and culture of the residents.  The activities are physically and mentally stimulating.  The activity therapist interviewed has forty years’ experience and displayed an excellent understanding of requirements.  Caregivers support all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weekly activities are posted in the rest home and include van outings, bowls, craft, bingo, church services and quizzes.  The activity plans sampled were well documented and reflected the resident’s preferred activities and interests.  Each resident has an individual activities assessment on admission and from this information an individual activities care plan is developed. The activities plan is reviewed six monthly and the reviews documented the resident’s progress towards goals. The resident’s activities participation log was sighted.  Interviewed residents and families verbalised the activities provided by the service are adequate and enjoyable.  A resident on a YPD contract is involved in community employment and external activities and was observed enjoying setting lunch tables for resident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evaluates all initial care plans within three weeks of admission.  All residents have a long-term care plan and where required these have been reviewed regularly.  Not all long-term care plans reviewed were updated as changes were noted in care requirements (link 1.3.5.2).  Three residents do not yet require a care plan evaluation.  Short-term care plans were not utilised for all short-term care issues (link 1.3.6.1).  Care staff document progress notes on every shift.  Registered nurse entries in progress notes were evident.  The GP completes a three monthly resident review or earlier if required.  The family are notified of GP visits and three monthly reviews by phone call and if unable to attend, they are informed of all the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in relation to exit, transfer or transition of residents.  There is evidence of referrals by the GP to other specialist services.  The residents and the families are kept informed of the referrals made by the service.  The registered nurse facilitates internal referrals.  Family communication records confirm family involvement.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chemicals were securely stored.  Storage areas were locked.  Chemicals were clearly labelled and safety material datasheets were available and accessible in all service areas.  The hazard register is current.  Staff interviewed confirmed they can access personal protective clothing and equipment at any time.  During the audit, staff were wearing gloves, aprons and hats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established systems in place to ensure the physical environment and facilities are safe and fit for their purpose.  The facility has a current building warrant of fitness.</w:t>
            </w:r>
          </w:p>
          <w:p w:rsidR="00EB7645" w:rsidRPr="00BE00C7" w:rsidP="00BE00C7">
            <w:pPr>
              <w:pStyle w:val="OutcomeDescription"/>
              <w:spacing w:before="120" w:after="120"/>
              <w:rPr>
                <w:rFonts w:cs="Arial"/>
                <w:b w:val="0"/>
                <w:lang w:eastAsia="en-NZ"/>
              </w:rPr>
            </w:pPr>
            <w:r w:rsidRPr="00BE00C7">
              <w:rPr>
                <w:rFonts w:cs="Arial"/>
                <w:b w:val="0"/>
                <w:lang w:eastAsia="en-NZ"/>
              </w:rPr>
              <w:t>Both internal maintenance and external contractors undertake maintenance.  Electrical safety-test tag system shows this has occurred.  The facility is being maintained in good repair.  All maintenance records were reviewed and are clearly documented.  The chair lift to the first floor has annual safety checks.</w:t>
            </w:r>
          </w:p>
          <w:p w:rsidR="00EB7645" w:rsidRPr="00BE00C7" w:rsidP="00BE00C7">
            <w:pPr>
              <w:pStyle w:val="OutcomeDescription"/>
              <w:spacing w:before="120" w:after="120"/>
              <w:rPr>
                <w:rFonts w:cs="Arial"/>
                <w:b w:val="0"/>
                <w:lang w:eastAsia="en-NZ"/>
              </w:rPr>
            </w:pPr>
            <w:r w:rsidRPr="00BE00C7">
              <w:rPr>
                <w:rFonts w:cs="Arial"/>
                <w:b w:val="0"/>
                <w:lang w:eastAsia="en-NZ"/>
              </w:rPr>
              <w:t>All external areas inspected were safe and contain appropriate seating and shade.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family members confirmed the environment was suitable and safe to meet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numbers of toilets and bathrooms for the number of residents in the rest home.  Privacy is maximised.  All bathrooms and toilets are maintained to a good standard, and they are disability accessible with easy to clean walls and floors.  The hot water temperatures are monitored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space in the bedrooms and enough space for the safe manoeuvring of mobility equipment.  Residents can personalise their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 home has a lounge/dining area which is suitable for the residents and the care setting.  There is adequate room for facilitating activities.  Appropriate comfortable seating is provided.  The dining rooms and lounge are within easy walking distances to bedrooms.  Residents interviewed confirmed they use their rooms or external areas if they want privacy or quiet time.  All furniture is safe and suitable for the rest home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 staff are responsible for cleaning and laundry service.  There are sufficient staff allocated seven days a week to carry out these services.  The service conducts regular reviews and internal audits of cleaning and laundry services to ensure this is safe and effective.  Where improvements can be made these are implemented.  Current safety material datasheets about each product are located with the chemicals.  The chemicals are stored appropriately in locked cabinets at all times.  The cleaner`s trolley is stored in a locked room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approved evacuation plan. The last fire evacuation drill was held in April 2016.  Staff attendance is recorded in the training records.  Civil defence equipment and resources are available.  The facility has back-up lighting, power and sufficient food, water and personal supplies to provide for its maximum number of residents in the event of a power outage.</w:t>
            </w:r>
          </w:p>
          <w:p w:rsidR="00EB7645" w:rsidRPr="00BE00C7" w:rsidP="00BE00C7">
            <w:pPr>
              <w:pStyle w:val="OutcomeDescription"/>
              <w:spacing w:before="120" w:after="120"/>
              <w:rPr>
                <w:rFonts w:cs="Arial"/>
                <w:b w:val="0"/>
                <w:lang w:eastAsia="en-NZ"/>
              </w:rPr>
            </w:pPr>
            <w:r w:rsidRPr="00BE00C7">
              <w:rPr>
                <w:rFonts w:cs="Arial"/>
                <w:b w:val="0"/>
                <w:lang w:eastAsia="en-NZ"/>
              </w:rPr>
              <w:t>The emergency plans and security systems meet regulation requirements.  The nurse call system is appropriate for the size of the facility and call bells are accessible in the rooms, lounge and dining areas.  A security person sleeps over each night as well as staff ensuring the service is secured each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 home has adequate heating.  The manager interviewed ensures the heating systems are running smoothly and that appropriate checks are performed.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doors and external opening windows for ventilation.  All bedrooms have good sized external opening windows which are designed and installed to promote ventilation and to be secured as needed.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interviewed confirmed the internal temperatures and ventilation are comfortable during the summer and winter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Queen Rose Rest Home has an established infection control (IC) programme.  The infection control programme is appropriate for the size, complexity and degree of risk associated with the service.  The registered nurse is the designated infection control person with support from all staff.  Infection control matters are discussed at all staff meetings and management meetings.  Education has been provided for staff.  The infection control programme has been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response to a DHB email dated 16th March 2016, following an outbreak during 2014 the following is confirmed: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around specimen taking and use of forms was undertaken at the time of outbreak.  The infection control policy includes the need for correct and number of samples for staff affected.  The service has a copy of ‘Guidelines For The Management of Noro-Virus’ published by the Ministry of Health.  This publication is integrated as part of their IC suite of policies. </w:t>
            </w:r>
          </w:p>
          <w:p w:rsidR="00EB7645" w:rsidRPr="00BE00C7" w:rsidP="00BE00C7">
            <w:pPr>
              <w:pStyle w:val="OutcomeDescription"/>
              <w:spacing w:before="120" w:after="120"/>
              <w:rPr>
                <w:rFonts w:cs="Arial"/>
                <w:b w:val="0"/>
                <w:lang w:eastAsia="en-NZ"/>
              </w:rPr>
            </w:pPr>
            <w:r w:rsidRPr="00BE00C7">
              <w:rPr>
                <w:rFonts w:cs="Arial"/>
                <w:b w:val="0"/>
                <w:lang w:eastAsia="en-NZ"/>
              </w:rPr>
              <w:t>An infection control questionnaire for all staff to complete included the use of personal protective equipment, handling infected linen, and effective hand washing.  All staff have completed this since August 2015.  Additional education has included; Hygiene and personal care (April 2016), hand hygiene (May 2016), outbreak management (May 2015) and chemical safety training (August 2015) included correct use of products.</w:t>
            </w:r>
          </w:p>
          <w:p w:rsidR="00EB7645" w:rsidRPr="00BE00C7" w:rsidP="00BE00C7">
            <w:pPr>
              <w:pStyle w:val="OutcomeDescription"/>
              <w:spacing w:before="120" w:after="120"/>
              <w:rPr>
                <w:rFonts w:cs="Arial"/>
                <w:b w:val="0"/>
                <w:lang w:eastAsia="en-NZ"/>
              </w:rPr>
            </w:pPr>
            <w:r w:rsidRPr="00BE00C7">
              <w:rPr>
                <w:rFonts w:cs="Arial"/>
                <w:b w:val="0"/>
                <w:lang w:eastAsia="en-NZ"/>
              </w:rPr>
              <w:t>The September 2014 staff meeting documents that infection control and isolation procedures was discussed.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The infection control (IC) person has not recently maintained her practice by attending external updates.  The infection control team is all staff through the staff meeting.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roles, responsibilities, procedures, the infection control team and training and education of staff.  The policies are reviewed and updated as required, at least two yearly.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orientation programme includes infection control education.  The infection control person provides staff in-service education that has occurred in 2016.  Education is provided to residents in the course of daily support with all residents interviewed able to describe infection prevention practice that is safe and suitable for the setting.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policy. The manager is the designated infection control person.  Monthly infection data is collected for all infections based on signs and symptoms of infection.  Surveillance of all infections is entered onto a monthly summary and then analysed and reported to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includes that restraint is only used as a last resort.  There were no residents at the time of the audit using restraint or enablers.  The restraint policy includes a definition of enablers as voluntarily using equipment to maintain independence, such as a lap belt in a wheelchair.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11"/>
        <w:gridCol w:w="1280"/>
        <w:gridCol w:w="4766"/>
        <w:gridCol w:w="3694"/>
        <w:gridCol w:w="19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forms are completed for any incident or near miss.  However, neurological observations are not undertaken following a head injury.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form following a head injury did not document neurological observations.  Discussion with the registered nurse evidenced that neurological observations are not routinely undertaken post head injury.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head injuries have neurological observations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facility medication charts were reviewed and met legislative requirement.  The GP dated and signed discontinued medications.  All ‘as required’ medications had an indication for use.  Current medications were stored securely but not expired medications, and eye drop labelling was inadequate.  .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Expired medications are stored in an unlocked office for return to pharmacy.</w:t>
            </w:r>
          </w:p>
          <w:p w:rsidR="00EB7645" w:rsidRPr="00BE00C7" w:rsidP="00BE00C7">
            <w:pPr>
              <w:pStyle w:val="OutcomeDescription"/>
              <w:spacing w:before="120" w:after="120"/>
              <w:rPr>
                <w:rFonts w:cs="Arial"/>
                <w:b w:val="0"/>
                <w:lang w:eastAsia="en-NZ"/>
              </w:rPr>
            </w:pPr>
            <w:r w:rsidRPr="00BE00C7">
              <w:rPr>
                <w:rFonts w:cs="Arial"/>
                <w:b w:val="0"/>
                <w:lang w:eastAsia="en-NZ"/>
              </w:rPr>
              <w:t>Opened eye drops did not identify the date the bottles were opened and eye drops in use on the trolley did not evidence the resident’s name.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expired medication is stored securely prior to return to pharmacy.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eye drops are labelled with the residents name and the date the bottle was opened.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reviewed had initial assessments and risk assessments completed on admission.  All of the files reviewed had an InterRAI assessment however not all files evidenced all required assessments.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the five files reviewed did not evidence pain assessments for residents requiring PRN pain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pain assessments are completed and reviewed for residents on PRN medication.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 files were reviewed.  The initial care plans have been developed within 48 hours of admission.  The long-term care plan was developed within three weeks of admission.  There was evidence of review in all files; however, the long-term interventions did not include sufficient detail to guide staff.  Insufficient detail was evidenced in relation to pain management, continence, and self-medication, wound management, sleep and intimacy management.  Staff interviewed were familiar with and providing the required cares so the risk for this shortfall is assessed as low.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five resident files did not evidence that care plan interventions provided sufficient detail to guide care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1. One resident care plan was not updated to reflect sleep, wound management and intimacy interventions. </w:t>
            </w:r>
          </w:p>
          <w:p w:rsidR="00EB7645" w:rsidRPr="00BE00C7" w:rsidP="00BE00C7">
            <w:pPr>
              <w:pStyle w:val="OutcomeDescription"/>
              <w:spacing w:before="120" w:after="120"/>
              <w:rPr>
                <w:rFonts w:cs="Arial"/>
                <w:b w:val="0"/>
                <w:lang w:eastAsia="en-NZ"/>
              </w:rPr>
            </w:pPr>
            <w:r w:rsidRPr="00BE00C7">
              <w:rPr>
                <w:rFonts w:cs="Arial"/>
                <w:b w:val="0"/>
                <w:lang w:eastAsia="en-NZ"/>
              </w:rPr>
              <w:t>2. One resident care plan did not include non-medical pain management interventions.</w:t>
            </w:r>
          </w:p>
          <w:p w:rsidR="00EB7645" w:rsidRPr="00BE00C7" w:rsidP="00BE00C7">
            <w:pPr>
              <w:pStyle w:val="OutcomeDescription"/>
              <w:spacing w:before="120" w:after="120"/>
              <w:rPr>
                <w:rFonts w:cs="Arial"/>
                <w:b w:val="0"/>
                <w:lang w:eastAsia="en-NZ"/>
              </w:rPr>
            </w:pPr>
            <w:r w:rsidRPr="00BE00C7">
              <w:rPr>
                <w:rFonts w:cs="Arial"/>
                <w:b w:val="0"/>
                <w:lang w:eastAsia="en-NZ"/>
              </w:rPr>
              <w:t>3. One resident care plan did not include continence management interventions.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interventions in the care plan reflect the resident’s current needs as identified through assessments and progress notes.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and wound management plans were not fully documented for all wounds.  Three of eight wound assessment and wound management plans were documented but one of these was incomplete.  Short-term care plans were in place for one of eight identified wounds.  One wound had been transferred to the long-term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Wound care documentation was incomplete for six out of eight wounds.  Five out of the eight wounds had not been assessed and did not have treatment plans in place.  Six out of the eight recent wounds did not have short-term care plans in place to document the interventions required.  Two out of three wounds with treatment plans did not document the frequency of treatment.  Five out of eight wounds did not have evidence of regular reviews.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wound assessment and management plans are fully documented and followed, and that all wounds have interventions documented in either a short-term care plan with regular documentation reviews or in a long-term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3.2.1</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team/personnel and/or committee shall comprise, or have access to, persons with the range of skills, expertise, and resources necessary to achieve the requirements of this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completed substantial external education but has not completed infection prevention and control training in the past two years.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not updated infection control training in the past two years.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infection control coordinator maintains a current knowledge of infection control best practice.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Queen Rose Retirement Home Limited - Queen Rose Retirement Home</w:t>
    </w:r>
    <w:bookmarkEnd w:id="58"/>
    <w:r>
      <w:rPr>
        <w:rFonts w:cs="Arial"/>
        <w:sz w:val="16"/>
        <w:szCs w:val="20"/>
      </w:rPr>
      <w:tab/>
      <w:t xml:space="preserve">Date of Audit: </w:t>
    </w:r>
    <w:bookmarkStart w:id="59" w:name="AuditStartDate1"/>
    <w:r>
      <w:rPr>
        <w:rFonts w:cs="Arial"/>
        <w:sz w:val="16"/>
        <w:szCs w:val="20"/>
      </w:rPr>
      <w:t>29 June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