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Ryman Napier Limited - Princess Alexandra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Ryman Napier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Princess Alexandra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July 2016</w:t>
      </w:r>
      <w:bookmarkEnd w:id="7"/>
      <w:r w:rsidRPr="009418D4">
        <w:rPr>
          <w:rFonts w:cs="Arial"/>
        </w:rPr>
        <w:tab/>
        <w:t xml:space="preserve">End date: </w:t>
      </w:r>
      <w:bookmarkStart w:id="8" w:name="AuditEndDate"/>
      <w:r w:rsidR="00A4268A">
        <w:rPr>
          <w:rFonts w:cs="Arial"/>
        </w:rPr>
        <w:t>5 July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Princess Alexandra is part of the Ryman Group of retirement villages and aged care facilities.  The service provides rest home, hospital and dementia level of care for up to 108 residents in the care centre, and rest home level of care for up to 30 residents in serviced apartments.  On the day of audit, there were 104 residents in the care centre and 9 residents in the serviced apartments.  An experienced village manager who is a registered nurse and an experienced clinical manager who is also a registered nurse manage the service.  The residents and relatives interviewed spoke positively about the care and support provided.</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general practitioner and staff.</w:t>
      </w:r>
    </w:p>
    <w:p w:rsidRPr="00A4268A">
      <w:pPr>
        <w:spacing w:before="240" w:line="276" w:lineRule="auto"/>
        <w:rPr>
          <w:rFonts w:eastAsia="Calibri"/>
        </w:rPr>
      </w:pPr>
      <w:r w:rsidRPr="00A4268A">
        <w:rPr>
          <w:rFonts w:eastAsia="Calibri"/>
        </w:rPr>
        <w:t xml:space="preserve">This audit identified that no improvements are required. </w:t>
      </w:r>
    </w:p>
    <w:p w:rsidRPr="00A4268A">
      <w:pPr>
        <w:spacing w:before="240" w:line="276" w:lineRule="auto"/>
        <w:rPr>
          <w:rFonts w:eastAsia="Calibri"/>
        </w:rPr>
      </w:pPr>
      <w:r w:rsidRPr="00A4268A">
        <w:rPr>
          <w:rFonts w:eastAsia="Calibri"/>
        </w:rPr>
        <w:t xml:space="preserve">Areas of continuous improvements were identified around reduction of falls incidence for hospital residents, and the laundry service.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Princess Alexandra provides care in a way that focuses on the individual resident’s quality of life.  There is a Māori health plan and implemented policy supporting practice.  Cultural assessments are undertaken on admission and during the review process.  Policies are being implemented to support individual rights, advocacy and informed consent.  Information about the Health and Disability Commissioner (HDC) Code of Health and Disability Services Consumers' Rights (the Code) is readily available to residents and families.  Care plans reviewed accommodated the choices of residents and/or their family.  Complaint processes are being implemented and complaints and concerns are managed appropriately.  Residents and family interviewed verified ongoing involvement with the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Princess Alexandra is implementing the teamRyman programme that provides the framework for quality and risk management and the provision of clinical care.  Key components of the quality management system link to a number of meetings including staff meetings.  An annual resident/relative satisfaction survey has been completed and there are regular resident/relative meetings.  Quality and risk performance is reported across the various facility meetings and to the organisation's management team.  Princess Alexandra provides clinical indicator data for the three services being provided (hospital, rest home and dementia care).  There are human resources policies including recruitment, selection, orientation and staff training and development.  The service had an induction programme in place that provides new staff with relevant information for safe work practice.  There is an in-service education/training programme covering relevant aspects of care and support and external training is supported.  The organisational staffing policy aligned with contractual requirements and included skill mixes.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There is a comprehensive information package for residents/relatives on admission to the service.  The registered nurses complete routine InterRAI assessments, risk assessments, care plans, interventions and evaluations.  Care plans demonstrate service integration.  Resident and family interviewed confirmed they were involved in the care plan process and review.  Care plans were updated for changes in health status.  The general practitioner completes an admission visit and reviews the residents at least three monthly.</w:t>
      </w:r>
    </w:p>
    <w:p w:rsidRPr="00A4268A" w:rsidP="00621629">
      <w:pPr>
        <w:spacing w:before="240" w:line="276" w:lineRule="auto"/>
        <w:rPr>
          <w:rFonts w:eastAsia="Calibri"/>
        </w:rPr>
      </w:pPr>
      <w:r w:rsidRPr="00A4268A">
        <w:rPr>
          <w:rFonts w:eastAsia="Calibri"/>
        </w:rPr>
        <w:t xml:space="preserve">The activity team provide an activities programme, which is varied and interesting.  The engage programme meets the abilities and recreational needs of the rest home, hospital and dementia care residents including men’s group, entertainment and community outings.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 general practitioner reviews medications three monthly.  </w:t>
      </w:r>
    </w:p>
    <w:p w:rsidRPr="00A4268A" w:rsidP="00621629">
      <w:pPr>
        <w:spacing w:before="240" w:line="276" w:lineRule="auto"/>
        <w:rPr>
          <w:rFonts w:eastAsia="Calibri"/>
        </w:rPr>
      </w:pPr>
      <w:r w:rsidRPr="00A4268A">
        <w:rPr>
          <w:rFonts w:eastAsia="Calibri"/>
        </w:rPr>
        <w:t>The menu is designed by a dietitian at an organisational level. Individual and special dietary needs are accommodated.  Residents interviewed responded favourably to the food that is provided.  There are nutritious snacks available at all times in the dementia unit.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There is a preventative and planned maintenance schedule in place.  Chemicals were stored safely throughout the facility.  All bedrooms are single occupancy with ensuites in the rest home and hospital rooms.  There are adequate numbers of communal shower/toilets in the dementia care unit.  There was sufficient space to allow the movement of residents around the facility. The hallways and communal areas were spacious and accessible.  The outdoor areas were safe and easily accessible.  There are policies in place for emergency management.  There is a person on duty at all times with first aid training.  Housekeeping staff maintain a clean and tidy environment.  All laundry services are managed on-site.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is a restraint policy in place with associated procedures and forms.  The policy contains definitions of restraint and enablers that are congruent with the definitions included in the standards.  The clinical manager/restraint coordinator oversees restraint/enabler usage within the facility. The service currently has two residents using restraints and three residents voluntarily using enablers.  The restraint coordinator maintains a register. The restraint approval committee reviewed restraint use.  Staff regularly receive education and training in restraint minimisation and managing behaviours that challenge.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includes policies and procedures to guide staff.  The infection prevention and control team holds integrated meetings with the health and safety team.  A monthly infection control report is completed and forwarded to head office for analysis and benchmarking.  A six monthly comparative summary is completed.  The service has had one outbreak since the last audit that was well managed.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42"/>
        <w:gridCol w:w="1280"/>
        <w:gridCol w:w="931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policies and procedures are being implemented that align with the requirements of the Health and Disability Commissioner Code of Health and Disability Services Consumers’ Rights (the Code).  Three families (one hospital and two dementia care) and nine residents (four rest home and five hospital) interviewed, stated they were provided with information on admission which included the Code.  Interview with six care assistants (two rest home, three hospital and one dementia care) demonstrated an understanding of the Code.  Residents and relatives confirm staff respect privacy and support residents in making choice where 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General consents (incorporated in the admission agreement) and specific consents reviewed in 11 resident files, were signed by the resident or their enduring power of attorney (EPOA).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Advanced directives were signed-for separately.  There was documented evidence of discussion with the next of kin/EPOA where the resident was deemed incompetent to make a decision regarding resuscitation.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Copies of EPOA are kept on the residents file where required.  Care assistants and registered nurses (RN) interviewed, confirmed verbal consent is obtained when delivering care.  Discussion with family members stated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long-term resident files reviewed have signed admission agreements.  The resident on intermediate care contract had signed a short-term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on entry to the service.  Residents interviewed confirmed they are aware of their right to access independent advocacy services.  Discussions with relatives confirmed the service provided opportunities for the family/EPOA to be involved in decisions.  The resident files include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included opportunities to attend events outside of the facility including activities of daily living, for example, shopping.  Interview with staff, residents and relatives informed residents are supported and encouraged to remain involved in the community and external groups.  Relatives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policy is being implemented at Princess Alexandra.  The village manager has overall responsibility for ensuring all complaints (verbal or written), are fully documented and investigated.  The facility has an up-to-date complaints register.  Concerns and complaints are discussed at relevant meetings.  There were 10 complaints made in 2015 and 6 complaints made in 2016, year to date.  Follow-up letters, investigation and outcome was documented.  Discussion with residents and relatives confirmed they were provided with information on the complaints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welcome pack that includes information about the Code.  There is also the opportunity to discuss aspects of the Code during the admission process.  Residents and relatives confirmed information had been provided around the Code.  Large print posters of the Code and advocacy information were displayed throughout the facility.  The village manager reported having an open door policy and described discussing the information pack with residents/relatives on admission.  The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policies that support resident privacy and confidentiality.  A tour of the Princess Alexandra facility confirmed there were areas that support personal privacy for residents.  During the audit, staff were observed to be respectful of residents’ privacy by knocking on doors prior to entering resident rooms.  The service has a philosophy that promotes quality of life and involves residents in decisions about their care.  Resident preferences are identified during the admission and care planning process with family involvement.  There were instructions provided to residents on entry regarding responsibilities of personal belonging in their admission agreement.  Interview with care assistants described how choice is incorporated into resident cares.  Staff have been provided with training on abuse and neglect.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a Māori health plan that includes a description of how they achieve the requirements set out in the contract.  There are supporting policies that provide recognition of Māori values and beliefs and identify culturally safe practices for Māori.  Family/whānau involvement is encouraged in assessment and care planning and visiting is encouraged.  Links are established with local iwi and other community representative groups as requested by the resident/family.  Residents who identify as Māori have this recorded in their care plan and cultural needs are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care-planning meeting is carried out where the resident and/or whānau, as appropriate/able, are invited to be involved.  Individual beliefs or values are further discussed and incorporated into the care plan.  Six monthly multi-disciplinary team meetings occur to assess if needs are being met.  Family are invited to attend.  Discussion with relatives inform values and beliefs are considered.  Residents interviewed confirm that staff take into account their culture and values.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job descriptions include responsibilities and staff sign a copy on employment.  The full facility meetings occur monthly and include discussions on professional boundaries and concerns as they arise.  Management provided guidelines and mentoring for specific situations.  Interviews with the village manager, clinical manager (RN), unit coordinators (serviced apartment, rest home, hospital and dementia care), registered nurses (RN) and care assistants confirmed an awareness of professional boundaries.  Care assistants interviewed could discuss professional boundaries in respect of gifts.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Healthcare has a teamRyman programme that includes annual planning and a suite of policies/procedures.  Policies are reviewed at an organisational level.  These documents have been developed in line with current accepted best practice, and are reviewed regularly.  Services are provided at Princess Alexandra that adhere to the health and disability services standards.  An implemented quality improvement programme includes performance monitoring.  </w:t>
            </w:r>
          </w:p>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policies/procedures to guide practice and an annual in-service education programme that is incorporated into the teamRyman programme.  There is evidence at Princess Alexandra that the in-service programme is being implemented.  There is a journal club for RNs and enrolled nurses (EN) held bi-monthly in conjunction with the RN/EN clinical meetings.  There are implemented competencies for care assistants and qualified nurses.  Core competency assessments and induction programmes are being implemented at Princess Alexandra.  Registered nurses have access to external training.  Residents and relatives interviewed were positive about the care they receive.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to guide staff in their responsibility around open disclosure.  Staff are required to record family notification when entering an incident into the system.  Incidents reviewed on the VCare system met this requirement.  Family members interviewed confirmed they are notified following a change of health status of their family member.  Resident and relative meetings are held regularly.  There was an interpreter policy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Princess Alexandra Retirement Village is a Ryman Healthcare facility, situated in Napier.  The service is able to provide care for up to 108 residents in the care centre at hospital, rest home and dementia level care.  There are also 30 serviced apartments certified to provide rest home level of care.  Sixty beds within the care centre are dual-purpose.  There were 104 residents in the care centre and 9 rest home residents in the serviced apartments.  The care centre residents included 22 rest home (none in dual-purpose beds), 57 hospital residents (all in dual-purpose beds), and one hospital resident on a short-term medical contract.  There were 24 residents in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rest home residents in the hospital wing.  All long-term residents were under the ARC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Healthcare has an organisational total quality management plan and a policy outlining the purpose, values and goals.  Facilities are required to set quality objectives annually.  Quality objectives for the 2015 year have been reviewed and 2016 objectives are in place.  There is a health and safety, and risk management programme being implemented at Princess Alexandra.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is a registered nurse who has been in this role for eight months.  Prior to this appointment, she was a clinical nurse manager and clinical practice manager for respiratory services.  A full-time clinical manager supports the village manager.  The clinical manager has been in the position for one month and has over 20 years’ experience as an RN.  Unit coordinators in each area and clinical advisors at head office, support the managers.  Management are supported by a regional operations manager and clinical practice and audit manager (at head office).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has completed the Ryman leadership programme, six monthly study days and recruitment course training in May 2016.  The clinical manager has completed ongoing training via the orientation/induction programme, RN modules and in-service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policy outlines manager availability, including on call requirements.  During a temporary absence, the assistant manager and clinical manager will cover the village manager’s role.  The assistant manager covers administrative functions and the clinical manager covers clinical care.  The regional operations manager provides oversight and support.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Princess Alexandra service continues to implement the teamRyman Programme, which links key components of the quality management system to village operations.  There are monthly full facility teamRyman meetings conducted.  Outcomes from the teamRyman committee are then reported across the various meetings, including the full facility, RN and care assistant meetings.  Meeting minutes include discussion about the key components of the quality programme including policy reviews, internal audit, training, complaints, accidents/incidents, infection control and quality improvement plans (QIPs).  Management meetings are held weekly.  Health and safety, and infection control meetings are held three monthly.  Clinical meeting minutes were sighted.  Interviews with staff confirmed an understanding of the quality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review is coordinated by Ryman head office.  Policy documents have been developed in line with current best and/or evidenced based practice.  Facility staff are informed of changes/updates to policy at the various staff meetings.  In addition, a number of core clinical practices have staff comprehension surveys that staff are required to complete to maintain competence.  Care staff stated they are made aware of any new/reviewed policies and these are available in the staff room. </w:t>
            </w:r>
          </w:p>
          <w:p w:rsidR="00EB7645" w:rsidRPr="00BE00C7" w:rsidP="00BE00C7">
            <w:pPr>
              <w:pStyle w:val="OutcomeDescription"/>
              <w:spacing w:before="120" w:after="120"/>
              <w:rPr>
                <w:rFonts w:cs="Arial"/>
                <w:b w:val="0"/>
                <w:lang w:eastAsia="en-NZ"/>
              </w:rPr>
            </w:pPr>
            <w:r w:rsidRPr="00BE00C7">
              <w:rPr>
                <w:rFonts w:cs="Arial"/>
                <w:b w:val="0"/>
                <w:lang w:eastAsia="en-NZ"/>
              </w:rPr>
              <w:t>Relative survey was last completed in March 2016 and resident survey in February 2016.  Results have been collated with annual comparisons for each service.  Areas of concern have been identified and quality improvement plans raised (QIPs) and these have been completed and signed off.  Results have been fed back to participants through resident and relative meetings.  TeamRyman develops the annual internal audit schedule that has been implemented at Princess Alexandra.  Internal audit summaries and QIPs are completed where a non-compliance is identified (&lt;90%).  Issues and outcomes are reported to the appropriate committee (eg, health and safety).  QIPs reviewed are seen to have been closed-out once resolved.</w:t>
            </w:r>
          </w:p>
          <w:p w:rsidR="00EB7645" w:rsidRPr="00BE00C7" w:rsidP="00BE00C7">
            <w:pPr>
              <w:pStyle w:val="OutcomeDescription"/>
              <w:spacing w:before="120" w:after="120"/>
              <w:rPr>
                <w:rFonts w:cs="Arial"/>
                <w:b w:val="0"/>
                <w:lang w:eastAsia="en-NZ"/>
              </w:rPr>
            </w:pPr>
            <w:r w:rsidRPr="00BE00C7">
              <w:rPr>
                <w:rFonts w:cs="Arial"/>
                <w:b w:val="0"/>
                <w:lang w:eastAsia="en-NZ"/>
              </w:rPr>
              <w:t>Monthly clinical indicator data is collated across the care centre (including rest home residents in the serviced apartments).  There is evidence of trending of clinical data, and development of QIPs when volumes exceed targets (eg, falls).  Falls prevention strategies are in place that includes the analysis of falls incidents and the identification of interventions on a case-by-case basis to minimise future falls.  The combined health and safety and infection control committee meet bi-monthly and incidents/accidents and infections are discussed and documented.  There is a current hazard register.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Princess Alexandra collects monthly incident and accident data and completes electronic recording of events on the VCare system.  Monthly analysis of incidents by type is undertaken by the service and is reported to the various staff meetings.  Data is linked to the organisation's benchmarking programme and is used for comparative purposes.  QIPs have been created when the number of incidents exceeded the benchmark.  Fourteen accident/incident forms reviewed (four rest home, six hospital and four dementia care) identified timely RN assessment and post falls assessments where required.  Quality improvement plans (QIPs) were seen to have been actioned and closed-out.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were aware of the requirement to notify relevant authorities in relation to essential notifications.  Three section 31 incident notification forms were completed, one in 2015 (outbreak) and two in 2016 (police investigation and outbreak).  The appropriate action has been taken in relation to the police matter outlined in the mandatory notification that was sighted.  Notifications to relevant personnel were sighted for an outbreak in January 2015 and June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organisational policies to guide recruitment practices and documented job descriptions for all positions.  There are job descriptions for designated officers.  Appropriate recruitment documentation was seen in the 13 staff files (one clinical manager, one assistant manager, on activities coordinator, one maintenance, one chef, one laundry, one housekeeper, one enrolled nurse, two RNs and three care assistants) reviewed.  Performance appraisals are current in all files reviewed.  Interview with care assistants inform that management are supportive and responsive.  All newly appointed staff complete general induction and role specific orientation.  Health practitioners and competencies policy outlines the requirements for validating professional competencies.  A register of current practising certificates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training plan aligned with the teamRyman programme that was being implemented.  Staff ‘catch up’ folders contain education content for staff to read and sign if they were unable to attend training.  Ryman ensures RNs are supported to maintain their professional competency including attending the journal club meetings and completing InterRAI training through the Ryman programme.  Six of fourteen RNs (including the clinical manager) have completed their InterRAI training.  Six of thirteen care assistants who are employed in the dementia care unit have completed their dementia standards.  Seven of seven care assistants that have not completed the unit standards have commenced work in the last 12 months.  All seven were in progress of completing their dementia standards.  Completion of the induction programme and required dementia standards are monitored and reported monthly to head office, as part of the teamRyman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organisational policy outlines on-call requirements, skill mix, staffing ratios and rostering for facilities.  A fulltime clinical manager oversees the care centre.  Each unit in the care centre has a RN unit coordinator.  There is at least one RN and first aid trained member of staff on every shift.  There is a full time serviced apartment unit coordinator (RN), and hospital care staff oversee the serviced apartments at night.  Interviews with care assistants informed the RNs are supportive and approachable.  In addition, they reported there are sufficient staff on duty at all times.  Interviews with residents and relatives indicated there are generally sufficient staff to meet resident needs.  Agency staff can be used to cover unexpected absences.  The village manager and clinical manager (both RNs), work full time and are on call 24/7; they share an on call roster with the unit coordinators.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 files were protected from unauthorised access by being held in a locked cupboard in both areas.  Care plans and notes were legible and where necessary signed (and dated) by a RN.  Entries reviewed were legible, dated and signed by the relevant care assistant or RN including designation.  Individual resident files demonstrate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guide service provision and entry to services including a comprehensive admission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on admission is retained in residents’ records.  The relatives interviewed stated they were well informed upon admission.  The service has a well-developed information pack available for residents/families/whānau at entry.  The information pack contains specific information relating to dementia level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 reviewed aligns with the service’s contracts for long-term and short-term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policy that describes guidelines for death, discharge, transfer, documentation and follow-up.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Medicine management complies with medication regulations and guidelines.  Medication reconciliation is completed by RNs on delivery of medication and any errors fed back to pharmacy.  Registered nurses and enrolled nurses who administer medications have been assessed for competency on an annual basis.  Qualified staff interviewed, were able to describe their role concerning medicine administration.  Senior care assistants complete a medication competency to check medications.  Education around safe medication administration has been provided.  Medications were stored safely.  All eye drops were dated on opening.  Medication fridges were monitored weekly.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Standing orders are not used. Two self-medicating residents (one rest home and one hospital) had been assessed and reviewed by the GP and RN as competent to self-administer.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Twenty-one medication charts (nine hospital, six rest home and six dementia care) were reviewed on the electronic medication system.  One intermediate care medication chart was reviewed.  All medication charts reviewed have ‘as required’ medications prescribed with an indication for use.  The effectiveness of ‘as required’ medications are entered into the electronic medication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and baking is prepared and cooked on-site.  Cook assistants and kitchen assistants support the qualified head chef.  All staff have been trained in food and chemical safety.  The dietitian at organisational level had reviewed a four-weekly seasonal menu.  There is flexibility to amend the menu to meet the resident’s preferences.  Meals are transported in hot boxes to the unit kitchenettes. The cook receives a resident dietary profile for all new admissions and is notified of any dietary changes such as resident with weight loss/weight gain or swallowing difficulties.  Resident likes, dislikes and dietary preferences were known.  Alternative foods are offered.  Cultural, religious and food allergies are accommodated.  Special diets such pureed/soft, diabetic desserts, vegetarian, lactose and dairy free are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Freezer and chiller temperatures and end-cooked temperatures are taken and recorded twice daily.  Chilled goods temperature is checked on delivery.  Twice daily, food temperatures are monitored and recorded.  All foods were date labelled.  A cleaning schedule is maintained.  The chemical provider monitors the dishwashers monthly.  The chef maintains regular contact with residents in the dining room.  Feedback on the service is received from daily resident contact, resident meetings, surveys and audits and the food comment book in the dining 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reasons for declining service entry to residents should this occur and communicates this to residents/family/whānau.  Anyone declined entry is referred back to the needs assessment service or referring agency for appropriate placement and advice.  Reasons for declining entry would be if there were no beds available or the service could not meet the assessed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Risk assessments have been completed on admission and reviewed six monthly as part of the evaluation process.  The outcomes of routine InterRAI assessments and risk assessments triggered were reflected in the care plans reviewed.  InterRAI assessments had been completed for all permanent residents.  Additional assessments such as behavioural, wound and restraints were completed according to need.  In the resident files reviewed, the outcomes of all assessments, needs and supports required were reflected in the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were comprehensive and demonstrated service integration and input from allied health.  All resident care plans were resident centred and support needs and interventions were documented in detail to reflect the outcomes of clinical assessments.  The care plans for dementia care residents include behaviours, triggers and interventions including activities over a 24-hour period.  Family members interviewed confirm care delivery and support by staff is consistent with their expectations.  Care plans were amended to reflect changes in health status and were reviewed on a regular basis.  Residents and family stated they were involved in the care planning and review process.  Residents and relatives interviewed stated that they were involved in care planning and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The family members interviewed stated their relative’s needs were being appropriately met.  When a resident's condition alters, the registered nurse initiates a review and if required a GP visit or nurse specialist consultant.  Care plans are updated to reflect the changes in resident needs/supports.  Short-term care plans are developed for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and evaluations were in place for 16 residents with wounds, one resident with a chronic ulcer and one hospital resident with a stage-one pressure injury.  Adequate dressing supplies were sighted in the treatment rooms.  The wound care champion (hospital RN) for the service provides advice and support to RNs and reviews wounds regularly.  Pressure injuries and chronic wounds are linked to the long-term care plans.  Registered nurses have attended pressure injury prevention and wound care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three-day urinary continence assessment, bowel management, and continence products identified for day use, night use, and other management.  Specialist continence advice is available as needed and the clinical manager could describe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in place include (but not limited to) monthly weight, blood pressure and pulse, neurological observations post unwitnessed falls or identified head injuries, food and fluid charts, restraint monitoring, pain monitoring, blood sugar levels and behaviour charts.  Progress notes document changes in health and significant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team of two diversional therapists (DT) and activities coordinators (including weekend activity staff and an on-call DT) to deliver the Engage programme across the rest home, hospital and dementia care units.  A lifestyle manager at head office supports the team.  Activity staff attend on-site and organisational in-service relevant to their roles.  All activities staff have current first aid certificates.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Engage programme has set activities with the flexibility for each service level to add activities that are meaningful and relevant for the resident group.  Rest home residents in the serviced apartments attend a rest home programme in the serviced apartments.  The programme is from Monday to Friday in the rest home and seven days a week in the hospital and dementia care units.  Additional activity hours are provided in the hospital unit for one-on-one time with individual residents.  Head office initiates monthly themes.  Triple A exercise programmes in each unit meet the physical abilities of the residents.  There are townhouse volunteers involved in the men’s group.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Community visitors to the service include pre-school children, entertainers, RSA visitors and pet therapy.  There are regular visits into the community including concerts and outings and drives.  A mobility van is hired weekly for hospital resident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available.  Daily contact and individual activities are provided for residents who choose not to be involved in the activity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interdenominational church services are held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life experiences and activity assessments are completed for residents on admission.  The activity plan in the files reviewed had been evaluated at least six monthly with the care plan review.  The resident/family/whānau as appropriate, are involved in the development of the activity plan.  Residents/relatives have the opportunity to feedback on the programme through the resident/relative meetings and satisfaction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Eight of eleven care plans had been evaluated six monthly, by registered nurses.  Two residents had not been at the service six months and the other resident was in for intermediate care.  Written evaluations describe the resident’s progress against the residents identified goals.  The multidisciplinary review involves the RN, GP, activities staff and resident/family and other allied health professionals involved in the care of the resident.  The family are notified of the outcome of the review if unable to attend.  There is at least a three monthly review by the medical practitioner.  The family members interviewed confirmed they had been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with other medical and non-medical services.  Referral documentation is maintained on resident files.  There was evidence of where a resident’s condition had changed and the resident referred for reassessment for a higher level of care.  Discussion with the clinical manager and RNs identified that the service has access to a wide range of support either through the GP, Ryman specialists, nurse specialists, hospice or contracted allied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implemented policies to guide staff in waste management.  Staff interviewed were aware of practices outlined in relevant policy.  Gloves, aprons, and goggles were readily available in the sluice rooms.  Staff were observed wearing personal protective clothing while carrying out their duties.  Infection prevention and control policies state specific tasks and duties for which protective equipment is to be worn.  Chemicals were labelled correctly and stored safely throughout the facility.  Safety datasheets and product use information was readily available.  Staff have attended chemical safety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on 1 August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employs a full-time maintenance person who has completed a health and safety, first aid and chemical safety course.  The maintenance person ensures daily maintenance requests are addressed.  A 12-monthly planned maintenance schedule has been signed off monthly as completed (sighted).  Essential contractors are available 24-hours.  Electrical testing has been completed.  Kitchen and laundry equipment is serviced twice yearly.  An external contractor completes annual calibration and functional checks of medical equipment, hoists and electric beds.  Rooms are refurbished as they become vacant.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in resident areas are monitored.  Temperature recordings reviewed were between 43-45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wide corridors with sufficient space for residents to mobilise.  Residents were observed to safely access the outdoor gardens and courtyards.  Seating and shade is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safe access to the external courtyard and walking pathway for residents in the dementia care unit.  </w:t>
            </w:r>
          </w:p>
          <w:p w:rsidR="00EB7645" w:rsidRPr="00BE00C7" w:rsidP="00BE00C7">
            <w:pPr>
              <w:pStyle w:val="OutcomeDescription"/>
              <w:spacing w:before="120" w:after="120"/>
              <w:rPr>
                <w:rFonts w:cs="Arial"/>
                <w:b w:val="0"/>
                <w:lang w:eastAsia="en-NZ"/>
              </w:rPr>
            </w:pPr>
            <w:r w:rsidRPr="00BE00C7">
              <w:rPr>
                <w:rFonts w:cs="Arial"/>
                <w:b w:val="0"/>
                <w:lang w:eastAsia="en-NZ"/>
              </w:rPr>
              <w:t>The care assistants and RNs interviewed stated they have sufficient equipment to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are single occupancy.  The bedrooms in the rest home and hospital all have full ensuites.  The bedrooms in the dementia care unit do not have ensuites.  There were adequate numbers of communal shower/toilet and handwashing facilities in the dementia care unit.  Toilets have privacy locks.  Residents interviewed confirmed their privacy was assured when staff were undertaking personal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were of an appropriate size to allow care to be provided and for the safe use and manoeuvring of mobility aids.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centre including the dementia unit is on the ground floor.  Each unit has a large main lounge and smaller family room/lounge.  The large main lounges have seating placed to allow for individual or group activities.  Each unit has a dining/kitchenette area.  Activities take place in the lounges of each unit.  All areas are accessible.  Care staff assist residents to communal areas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Ryman group has documented systems for monitoring the effectiveness and compliance of the cleaning and laundry service.  Laundry and cleaning audits were completed as per the Ryman programme.  The laundry had an entry and exit door with defined clean/dirty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secure area for the storage of cleaning and laundry chemicals for the laundry.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cleaning and laundry persons on duty each day.  All linen and personal clothing is laundered on-site.  Residents interviewed stated they were happy with the cleanliness of their bedrooms and communal areas.  Residents confirmed their clothing was treated with care and returned to them in a timely manner.  The service has been awarded a continuous improvement rating for the labelling process that has reduced the number of missing clothing items.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emergency and disaster manuals to guide staff in managing emergencies and disasters.  Emergency management, first aid and cardiopulmonary resuscitation (CPR) are included in the mandatory in-service programme.  There is a first aid trained staff member on every shift.  The village has an approved fire evacuation plan.  Fire drills occur six monthly.  The service has an emergency generator onsite, gas barbeque and cylinders, sufficient water and food in the event of an emergency.  Emergency lighting is in place.  An electronic call-bell system was evident in all residents’ rooms and ensuites, communal toilets and communal lounge and dining areas.  The building is secure after hours.  The dementia care unit has secure access.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resident rooms are appropriately ventilated and heated with underfloor heating.   Residents have panel heaters in their rooms that can be individually thermostat controlled.  Heat pumps have been installed in communal areas.  All rooms have external windows with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is appropriate for the size and complexity of the service.  The infection prevention and control committee is combined with the health and safety committee, which meets bi-monthly.  The facility meetings also include a discussion of infection prevention and control matters.  The programme is set out annually from head office and is directed via the quality programme.  The programme is reviewed annually and a six-month analysis is completed and reported to the governing body.  The clinical manager is the infection control officer for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Residents are offered the annual influenza vaccine.  Staff are also offered the influenza vaccine.  There are sufficient hand sanitisers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committee (combined with the health and safety committee), is made up of a cross section of staff from areas of the service.  The infection control officer has been in the role three weeks and is in the process of completing the infection control coordinator induction, and has completed on line MOH training.  The facility also has access to an infection prevention and control nurse specialist from the DHB, public health, GPs, local laboratory and expertise from within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infection prevention and control policies that are current and reflect the Infection Prevention and Control Standard SNZ HB 8134:2008, legislation and good practice.  These policies are generic to Ryman and the policies have been developed by an external agency.  The infection prevention and control policies link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is responsible for coordinating/providing education and training to staff.  The orientation/induction package includes specific training around hand hygiene and standard precautions and training is provided both at orientation and as part of the annual training schedule.  Registered nurses also complete annual infection control education as part of the RN journal club.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occurs as part of providing daily cares.  Care plans can include ways to assist staff in ensuring this occurs.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described the purpose and methodology for the surveillance of infections.  Definitions of infections in place are appropriate to the complexity of service provided.  Individual infection report forms are completed for all infections, and are kept as part of the resident files.  Infections are included on an electronic register and the infection prevention coordinator completes a monthly report.  Monthly data is reported to the combined infection prevention and control, and the health and safety meetings.  Staff are informed through the variety of meetings held at the facility.  The infection prevention and control programme links with the quality programme.  The infection control officer uses the information obtained through surveillance to determine infection prevention and control activities, resources, and education needs within the facility.  There is close liaison with the GPs that advise and provide feedback/information to the service.  Systems in place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confirmed norovirus outbreak January 2015 was well managed and included a debrief meeting to review overall management by staff.  Relevant authorities had been notified.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practices are used only where it is clinically indicated and justified and where other de-escalation strategies have been ineffective.  The policies and procedures are comprehensive and include definitions, processes and use of restraints and enablers.  The organisation is working towards becoming restraint-free.  During the audit, there were three residents using enablers (bedrails) and two residents with restraints (bedrails).  Three resident files were reviewed where an enabler (bedrails) was in use.  Voluntary consent and an assessment process were completed.  The enabler is linked to the resident’s care plan and is regularly reviewed.  Staff training is in place around restraint minimisation and management of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unit coordinator is the restraint coordinator for the facility, and they have defined responsibilities included in the job description.  The restraint approval committee meets six monthly.  There is ongoing restraint education including challenging behaviours.  Quality and clinical meetings include discussion on restraint.  Staff carry out and record restraint monitoring including cares delivered during the restraint period.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assessment tool is completed for residents requiring an approved restraint for safety.  The RN in partnership with the restraint coordinator, approval group, resident and their family/whānau undertakes assessments.  Restraint assessments are based on information in the care plan, resident/family discussions and observations.  Ongoing consultation with the resident and family/whānau are evident.  A restraint assessment form was completed for the two residents requiring restraint (sighted).  Assessments identify the specific interventions or strategies to try (as appropriate) before implementing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approval process (as part of the restraint minimisation policy) that is applicable to the service.  Monitoring and observation is included in the restraint policy.  The restraint coordinator is responsible for ensuring all restraint documentation is completed.  Each episode of restraint is monitored at pre-determined intervals depending on individual risk to that resident.  Restraint use, risks and cares to be carried out during the restraint episode are included in the care plan.  There is an up-to-date restraint register.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evaluations occur three monthly as part of the ongoing reassessment for residents on the restraint register and as part of their care plan review.  Families are included as part of this review where possible.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usage throughout the Ryman organisation is monitored regularly.  The review of restraint use is discussed at the approval group meetings and relevant facility meetings.  The organisation and facility are proactive in minimising restraint.  A comprehensive restraint education and training programme is in place, which includes restraint competencies.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4690"/>
        <w:gridCol w:w="643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Robust systems are in place for the collection, analysis and evaluations of quality data.  A range of data is collected across the service using VCare, an electronic data system.  Data is collated and analysed with comprehensive evaluation reports completed monthly and comparative reports six monthly.  Data analysis is enhanced using control charts, which identifies normal variation, patterns and trends.  Data is benchmarked against other similar service types within Ryman facilities.  Communication of results occurs across a range of meetings across the facility (eg, management meetings, full facility meetings, clinical meetings).  Data collated is used to identify any areas that require improvement.  The quality programme for 2016 includes objectives for improving outcomes for residents.  Clinical indicator data has individual reference ranges for acceptable limits and levels of incidents and infections.  Data is collected around (but not limited to): falls, skin tears, pressure injuries and infections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Falls rate for hospital residents had been identified as an area that required improvement from data collected from January 2014 - January 2015.  The rate had been above the reference range of 11 falls per 1000 occupied bed days (15).</w:t>
            </w:r>
          </w:p>
          <w:p w:rsidR="00EB7645" w:rsidRPr="00BE00C7" w:rsidP="00BE00C7">
            <w:pPr>
              <w:pStyle w:val="OutcomeDescription"/>
              <w:spacing w:before="120" w:after="120"/>
              <w:rPr>
                <w:rFonts w:cs="Arial"/>
                <w:b w:val="0"/>
                <w:lang w:eastAsia="en-NZ"/>
              </w:rPr>
            </w:pPr>
            <w:r w:rsidRPr="00BE00C7">
              <w:rPr>
                <w:rFonts w:cs="Arial"/>
                <w:b w:val="0"/>
                <w:lang w:eastAsia="en-NZ"/>
              </w:rPr>
              <w:t>A plan was developed as part of their 2015 and 2016 quality goals which included identifying residents at risk of falling, providing falls prevention training for staff, reviewing call bell response times, reviewing the roster to ensure adequate supervision of residents, encouraging resident participation in the activities programme and reviewing of clinical indicator data.  Further initiatives implemented included routine checks of all residents specific to each resident’s needs (intentional rounding), the use of sensor mats, night-lights, proactive and early GP involvement and increased staff awareness of residents who are at risk of falling.  The service has implemented a traffic light system, which indicates the level of supervision required for the resident.  The colour coded traffic light system is individualised and on display in the resident rooms.  Mobility aids have a corresponding colour coded ‘flag’ on their mobility aid.  The system was evidenced in several rooms viewed on the day of audit and on mobility aids in use.  The physiotherapist and physiotherapist aide (interviewed) confirmed they were actively involved in mobility assessments and exercise programmes for residents for the prevention of falls.  The effectiveness of the falls prevention plan has been reviewed monthly and discussed at staff meetings.  Education and training for staff has been regularly provided.</w:t>
            </w:r>
          </w:p>
          <w:p w:rsidR="00EB7645" w:rsidRPr="00BE00C7" w:rsidP="00BE00C7">
            <w:pPr>
              <w:pStyle w:val="OutcomeDescription"/>
              <w:spacing w:before="120" w:after="120"/>
              <w:rPr>
                <w:rFonts w:cs="Arial"/>
                <w:b w:val="0"/>
                <w:lang w:eastAsia="en-NZ"/>
              </w:rPr>
            </w:pPr>
            <w:r w:rsidRPr="00BE00C7">
              <w:rPr>
                <w:rFonts w:cs="Arial"/>
                <w:b w:val="0"/>
                <w:lang w:eastAsia="en-NZ"/>
              </w:rPr>
              <w:t>Evaluation of the falls reduction programme has identified that the rate of falls for hospital residents has been reported as under the target rate of 11, having reduced to 6.8 per 1000 occupied bed days.  This has remained under the reference range limit for year to date in 2016.  Princess Alexandra is now ranked number 2 out of 25 Ryman villages for the lowest falls rate.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1.4.6.2</w:t>
            </w:r>
          </w:p>
          <w:p w:rsidR="00EB7645" w:rsidRPr="00BE00C7" w:rsidP="00BE00C7">
            <w:pPr>
              <w:pStyle w:val="OutcomeDescription"/>
              <w:spacing w:before="120" w:after="120"/>
              <w:rPr>
                <w:rFonts w:cs="Arial"/>
                <w:b w:val="0"/>
                <w:lang w:eastAsia="en-NZ"/>
              </w:rPr>
            </w:pPr>
            <w:r w:rsidRPr="00BE00C7">
              <w:rPr>
                <w:rFonts w:cs="Arial"/>
                <w:b w:val="0"/>
                <w:lang w:eastAsia="en-NZ"/>
              </w:rPr>
              <w:t>The methods, frequency, and materials used for cleaning and laundry processes are monitored for effectiveness.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continuous improvement project commenced in January 2015, to increase resident and relative satisfaction with laundry services.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Missing/lost clothing items had been identified as a resident/relative concern in resident surveys and resident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devised a system whereby each resident was provided with individually labelled laundry bags for their personal clothing.  The purple resident clothing bags were seen in resident ensuites.  The organisation purchased a labelling machine and recruited for a new laundry shift, whose responsibility is to label all resident personal items on admission and as required.  All staff received training on the new labelling machine and laundry processes.  The laundry person interviewed on the day of audit could describe the procedure for reducing the amount of missing clothing.  Residents and relatives were informed of the labelling procedure.  Ongoing discussions at the resident meetings and laundry audits evidenced an improvement in laundry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Resident/relative interviews on the day of audit confirmed there has been a marked reduction in the number of missing personal clothing and they were very satisfied with the laundry service.  A visit to the laundry on the day of audit, demonstrated evidence of the system being implemented, with a small box of un-named clothing.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Ryman Napier Limited - Princess Alexandra Retirement Village</w:t>
    </w:r>
    <w:bookmarkEnd w:id="58"/>
    <w:r>
      <w:rPr>
        <w:rFonts w:cs="Arial"/>
        <w:sz w:val="16"/>
        <w:szCs w:val="20"/>
      </w:rPr>
      <w:tab/>
      <w:t xml:space="preserve">Date of Audit: </w:t>
    </w:r>
    <w:bookmarkStart w:id="59" w:name="AuditStartDate1"/>
    <w:r>
      <w:rPr>
        <w:rFonts w:cs="Arial"/>
        <w:sz w:val="16"/>
        <w:szCs w:val="20"/>
      </w:rPr>
      <w:t>4 July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