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Acacia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Acacia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June 2016</w:t>
      </w:r>
      <w:bookmarkEnd w:id="7"/>
      <w:r w:rsidRPr="009418D4">
        <w:rPr>
          <w:rFonts w:cs="Arial"/>
        </w:rPr>
        <w:tab/>
        <w:t xml:space="preserve">End date: </w:t>
      </w:r>
      <w:bookmarkStart w:id="8" w:name="AuditEndDate"/>
      <w:r w:rsidR="00A4268A">
        <w:rPr>
          <w:rFonts w:cs="Arial"/>
        </w:rPr>
        <w:t>23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has assessed the service as able to provide hospital (medical) level of service.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Acacia is owned and operated by the CHT Healthcare Trust.  The service cares for up to 48 residents requiring hospital and rest home level care.  On the day of the audit, there were 47 residents.  A unit manager, who is well qualified and experienced for the role oversees the service and is supported by a clinical coordinator and the area manager.  Residents, relatives and the GP interviewed spoke positively about the service provided.</w:t>
        <w:b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This audit has assessed the service as able to provide hospital (medical) level of support to residents.</w:t>
        <w:br/>
        <w:t>This audit has identified areas requiring improvement around care planning, monitoring records and medication administration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CHT Acacia Park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Residents/family meetings have been held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coordinator manages entry to the service with assistance from the registered nurses.  Comprehensive service information is available.  A registered nurse completes initial assessments, including InterRAI assessments.  The registered nurses complete care plans within the required timeframe.  Care plans are clearly written and healthcare assistants report they are easy to follow.  Residents and relatives interviewed confirmed they were involved in the care planning and review process. The general practitioner reviews the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Medicines are stored appropriately in line with legislation and guidelines.  Staff responsible for the administration of medication, complete annual competencies and medication education.  General practitioners review resident’s medications at least three monthly.</w:t>
      </w:r>
    </w:p>
    <w:p w:rsidRPr="00A4268A" w:rsidP="00621629">
      <w:pPr>
        <w:spacing w:before="240" w:line="276" w:lineRule="auto"/>
        <w:rPr>
          <w:rFonts w:eastAsia="Calibri"/>
        </w:rPr>
      </w:pPr>
      <w:r w:rsidRPr="00A4268A">
        <w:rPr>
          <w:rFonts w:eastAsia="Calibri"/>
        </w:rPr>
        <w:t xml:space="preserve">Meals are prepared on site by a contracted agency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Reactive and planned maintenance is in place.  Chemicals are stored safely throughout the facility.  All bedrooms are single occupancy and have either their own ensuites or a shared ensuite toilet.  There are sufficient communal showers. There is sufficient space to allow the safe movement of residents around the facility using mobility aids.  There are communal dining rooms and lounges and a number of smaller seating areas.  The internal areas are able to be ventilated and heated.  The outdoor areas are safe and easily accessible.  Cleaning contractors and laundry staff are providing appropriate services.  Emergency systems and equipment are in place in the event of a fire or external disaster.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Acacia Park has restraint minimisation and safe practice policies and procedures in place.  Staff receive training in restraint minimisation and challenging behaviour management.  On the day of audit, there were eight residents with restraint and one resident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7"/>
        <w:gridCol w:w="1280"/>
        <w:gridCol w:w="93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(five healthcare assistants, two registered nurses (RN), one activities coordinator, one cook, one laundry, one clinical coordinator and one unit manager) confirm their familiarity with the Code.  Interviews with eight residents (three rest home and five hospital) and three families (one rest home and two hospital) confirm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 written consents.  Advanced directives are signed-for separately.  There is evidence of discussion with family when the GP has completed a clinically indicated not for resuscitation order.  Health care assistants and registered nurses interviewed confirmed verbal consent is obtained when delivering care.  Family members are involved in decisions that affect their relative’s lives.  All seven resident files sampled had a signed admission agreement signed on or before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throughout the facility.  Information about complaints is provided on admission.  Interview with residents demonstrated an understanding of the complaints process.  All staff interviewed were able to describe the process around reporting complaints.  There is a complaints register.  There were three complaints made in 2016, year to date.  All complaints reviewed had noted investigation, timeframes, corrective actions when required and resolutions were in place if required.  Results are fed back to complainants.  Discussions with residents confirmed that any issues are addressed and they feel comfortable to raise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The service is able to provide information in different languages and/or in large print if requested.  Information is also given to next of kin or enduring power of attorney (EPOA) to read with the resident and discuss.  On entry to the service, the unit manager discusses the information pack with the resident and the family/whānau.  The information pack incudes a copy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to maintain privacy and respect of personal property.  All residents interviewed stated their needs were met.  A policy describes spiritual care.  Two church services occur on a fortnightly basis.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One resident identified as Māori on the day of the audit.  Cultural and spiritual practice is supported and identified needs are incorporated into the care planning process.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registered nurses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Residents interviewed spoke positively about the care and support provided.  Staff interviewed had a sound understanding of principles of aged care and stated that they feel supported by the management team.  Staffing policies include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around open disclosure alerts staff to their responsibility to notify family/next of kin of any accidents/incidents that occur.  Twelve incidents/accidents forms were reviewed for June 2016.  The forms included a section to record family notification.  All forms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Acacia Park is owned and operated by the CHT Healthcare Trust.  CHT purchased the service in September 2015.  The service provides rest home and hospital level care for up to 48 residents.  On the day of the audit, there were 47 residents in total, 21 rest home level and 26 hospital level.  This includes one resident (hospital level) on an ACC contract.  All rooms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She has been in the manager role at the facility for three years and continued as unit manager when CHT purchased the service.  A clinical coordinator who has been in the position for three years supports her.  The unit manager reports to the area manager weekly on a variety of operational issues.  CHT has an overall business/strategic plan and CHT Acacia Park has a facility quality and risk management programme in place for the current year.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clinical coordinator is in charge, with support from the area manager, the senior registered nurse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Interviews with staff confirmed that quality data is discussed at monthly staff meetings to which all staff are invited.  The unit manager advised that she is responsible for providing oversight of the quality programme.  The quality and risk management programme is designed to monitor contractual and standards compliance.  The service's policies are reviewed at national level, with input from facility staff every two years.  New/updated policies are sent from head office, with a draft policy including InterRAI assessment requirements.  Staff have access to manuals.  Resident/relative meetings are held bi-monthly.  At the time of the change of ownership the unit manager and area manager attended some of these meetings.  Restraint and enabler use is reported within the clinical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in April 2016.  Areas of non-compliance identified through quality activities are actioned for improvement.  The service has a health and safety management system.  There are implemented risk management, and health and safety policies and procedures in place including accident and hazard management.  An annual residents/relatives satisfaction survey is due to be sent out in September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investigates accidents and near misses and analysis of incident trends occurs.  There is a discussion of incidents/accidents at monthly clinical and staff meetings including actions to minimise recurrence.  Twelve resident incident forms sampled demonstrated that appropriate clinical follow-up and investigation occurred following incidents.  Discussions with the unit manager confirmed that there is an awareness of the requirement to notify relevant authorities in relation to essential notifications.  There was appropriate notification made around a staff member who had developed influenza A in June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Seven staff files were reviewed (one clinical coordinator, two registered nurses, one activities coordinator and three health care assistants) and evidence that reference checks were completed before employment was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in-service education programme for 2015 has been completed and a plan for 2016 is being implemented.  The unit manager and registered nurses are able to attend external training, including sessions provided by the local DHB.  Five of the six registered nurses have completed InterRAI training.  CHT Acacia Park are currently going for silver in the WorkWell programme and are working to improve the health and wellbeing of their workforce.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on to manage the care requirements of the residents.  At least one registered nurse and two healthcare assistants are on duty at any one time 24/7.  The registered nurse on each shift is aware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provided, the admission process and entry to the service.  The clinical coordinator screens all potential residents prior to entry and records all admission enquires in a hard copy system.  Residents interviewed confirmed they received information prior to admission and had the opportunity to discuss the admission agreement with the manager and clinical coordinator.  The admission agreement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DHB hospital transfer form and yellow aged care envelope system (sighted in two files sampled).  Relatives are notified if transfers occur (link rest home tracer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management policies and procedures comply with medication legislation and guidelines.  The RN on duty checks medications against the medication chart.  Registered nurses administer medications and have completed competencies including syringe driver competency.  Medication administration practice complies with the medication management policy for the medication administration sighted, with one exception.  Medication prescribed is signed as administered on the pharmacy generated signing chart.  One resident administration chart had incorrect signing.  Three residents self-administer their own medicines, and the documentation was correctly recorded and a competency assessment was completed.  Standing orders are in use and meet current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All medication charts had been reviewed at least three monthly.  Medication charts met the legislative requirements for the prescribing of regular medications.  All prescriptions for ‘as required’ medications document the indication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by contracted kitchen staff.  There is a food services manual in place to guide staff.  A resident nutritional profile is developed for each resident on admission and is provided to the kitchen staff.  The kitchen is able to meet the needs of residents who require special diets and the chef manager works closely with the RNs on duty.  Kitchen staff have completed food safety and chemical safety training.  The kitchen manager and cooks follow a rotating four weekly seasonal menu, which has been reviewed by the contracted company’s dietitian.  The cook (interviewed) was able to describe alternative meals offered for residents with dislikes and food is fortified for residents with weight loss.  The temperatures of refrigerators, freezers and cooked foods are monitored and recorded.  There is special equipment available for residents if required.  All food is stored appropriately.  Residents and the family members interviewed were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decision to potential residents/family/whānau. Anyone declined entry is referred back to the referring agency for appropriate placement and advice.  Information on alternate placement options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demonstrated that all appropriate personal needs information is gathered during admission in consultation with the resident and their relative where appropriate.  Appropriate assessment tools were completed and the outcomes of assessments were reflected in the long-term care plans in resident files reviewed.  The InterRAI assessment tool has been completed for all residents.  The InterRAI assessments are completed six monthly or earlier if there are changes to the resident’s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template headings.  However, the long-term care plans reviewed did not always describe the support required to meet the resident’s goals and needs, and identified allied health involvement.  Residents and relatives confirmed they are involved in the care planning and review process.  Short-term care plans are in use for changes in health status.  Care staff interviewed reported the care plans are readily available and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clinical coordinator) and HCAs, follow the care plan (link 1.3.5.2) and report progress against the care plan each shift at handover.  If external nursing or allied health advice is required, the RNs will initiate a referral as evidenced in resident files.  If external medical/specialist advice is required, this will be initiated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dressing supplies.  Sufficient continence products are available and resident files include a continence assessment and plan in the care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previously provided care for residents at end of life and the clinical coordinator and registered nurses described appropriate practices and knowledge around caring for residents with medical needs (there were none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wound management plans and short-term care plans are in place for four skin tears and one almost healed chronic wound.  The RNs have access to specialist nursing wound care management advice through the district health board (DHB).  Appropriate pressure injury interventions were documented in the care plans of residents identified as high risk of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Blood sugar monitoring, regular weight monitoring, turning charts and intake and fluid balance charts were in use and sighted but these had not always been comprehensively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two activity coordinators are employed deliver the activities programme seven days a week.  The activities provided meet the recreational preferences and abilities of the resident groups and include arts and crafts, exercises, walks and board games.  Activities reflect ordinary patterns of life and include planned visits to the community.  Activities are held in the lounges.  One-on-one time is spent with residents who choose not to or are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which is incorporated into the InterRAI assessment process.  An individual activities plan is developed for each resident in consultation with the resident/family.  All long-term resident files sampled have a recent activities plan within the care plan and this is reviewed at least six 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 long-term care plan is evaluated at least six monthly or earlier if there is a change in health status.  All care plans have recently been changed to the CHT template, but not all had yet been reviewed using the CHT documentation.  There was evidence of previous review on the prior owner’s documentation.  There is at least a three monthly review by the GP.  All changes in health status are documented and followed up.  Six monthly reassessments have been completed by RNs using InterRAI LTCF for all residents and for those who have had a significant change in health status.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such as dietitian, social workers, psychiatry services and retinal screening.  Referral documentation is maintained on resident files.  The RNs initiate referrals to nurse specialists and allied health services.  Other specialist referrals are made by the GPs.  Referrals and options for care were discussed with the family, as evidenced in medical notes.  Staff provided examples of where a resident’s condition had changed and the resident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30 March 2017.  There is a maintenance person who works 25 hours per week.  There is a reactive maintenance communication book and a planned maintenance plan in place for the internal and external building.  All electrical equipment is tested and tagged two yearly.  Clinical equipment is checked and calibrated annually.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sufficient equipment to meet the needs of current residents and sufficient equipment including suction and oxygen equipment, to meet the needs of medical level hospital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communal toilets and shower/bathing areas for residents.  All communal toilets and shower rooms have vacant/engaged slide signs.  All bedrooms have ensuites - most have toilet ensuites between two rooms and wing four has individual full ensuites in each room.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cares to be provided for the assessed level of care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a large open plan lounge and smaller seating areas.  Activities take place in a number of areas throughout the facility.  There is a rest home and hospital resident dining room.  Communal rooms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is done on-site by a contracted service.  A laundry/cleaning supervisor oversees the service.  The laundry has entry and exit doors and there are defined clean/dirty areas.  Clearing trolleys are well equipped and are stored safely when not in use.  Staff have access to a range of chemicals, cleaning equipment and protective clothing.  The standard of cleanliness and laundry process is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has been approved by the fire service.  There are emergency management plans in place to ensure health, civil defence and other emergencies are included.  Six monthly fire evacuation practice documentation was sighted.  Fire training and security situations are part of orientation of new staff and include competency assessments.  There are adequate supplies in the event of a civil defence emergency including food, water and gas cooking.  Short-term back up power for emergency lighting and the call bell system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The call bell system in the older part of the building is currently being upgraded to link with the main call bell system in the hospital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Acacia Park has an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unit manager, the clinical coordinator and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Acacia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the facility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eight residents with restraint and one resident with an enabler.  All restraints and the enabler are bed rails.  One enabler file sampled documented that enabler use is voluntary.  All necessary documentation has been completed in relation to the restraints.  Policies and procedures include definition of restraint and enabler that are congruent with the definition in NZS 8134.0.  Staff training/education on restraint/enablers has recently been provided in May 2016.  Restraint is discussed as part of staff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five restraint and one enabler resident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An assessment form is completed for all restraints and enablers.  The files reviewed had a completed assessment form and a care plan that reflected risk.  Monitoring forms that included regular monitoring at the frequency determined by the risk level were present in the files reviewed.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The restraint coordinator and unit manager complete the restraint review.  Any adverse outcomes are reported at the monthly staff and bi-monthly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0"/>
        <w:gridCol w:w="1280"/>
        <w:gridCol w:w="6025"/>
        <w:gridCol w:w="2881"/>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 administration charts reviewed documented that prescribed medications had been administered.  One chart had a medication documented as administered more often than prescribed.  As medication is prescribed in the amounts required, by the pharmacy, and there was no evidence that extra medication had been used, this was a documentation error.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fourteen medication charts sampled had eight consecutive days where a medication prescribed every three days was signed as administered daily.  This had been rectified and correctly documented for the week prior to the audit.  The amount of medication available confirmed this was a documentation error and therefore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medication administration records document medication actually administered.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had been completed by registered nurses using observations, GP recommendations and allied health input, to support the needs identified in InterRAI assessments.  The physiotherapist reviews residents on admission and at regular intervals.  When interviewed she reported taking a cautious approach to residents mobility support.  The clinical manager and registered nurses reported that sometimes residents mobilise independently and the physiotherapist’s instructions are not always practical, so are not always reflected in the care plan.  This had occurred in four care plans sampled.  Warfarin use and the need for INR monitoring was identified in care plans for residents using warfarin, but other associated risks were not.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rest home resident care plans and one hospital care plan did not reflect the physiotherapist’s mobility instructions (noting the registered nurse assessment differed from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care plan sampled and one hospital resident care plan sampled did not document all of the risks associated with warfarin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allied health instructions are reflected in care plans.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identified risks and needs are addressed in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Healthcare assistants report that they are informed of any changes to residents required needs at handover.  They report that all residents requiring turns, are turned at the required frequency or more often.  This practice is supported by the low rate of pressure injuries at the facility.  They also report that all residents are provided fluids (routinely) several times per day and when there is interaction with the resident.  One fluid balance chart and a four-hourly turning chart were sighted, and were not comprehensively documented. Therefore, it is a documentation issue and considered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fluid balance chart did not document regular fluid intake or registered nurse review and one four-hourly turning chart (both for a hospital level resident) did not consistently document four hourly turns.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monitoring charts are documented to reflect interventions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Acacia Park</w:t>
    </w:r>
    <w:bookmarkEnd w:id="58"/>
    <w:r>
      <w:rPr>
        <w:rFonts w:cs="Arial"/>
        <w:sz w:val="16"/>
        <w:szCs w:val="20"/>
      </w:rPr>
      <w:tab/>
      <w:t xml:space="preserve">Date of Audit: </w:t>
    </w:r>
    <w:bookmarkStart w:id="59" w:name="AuditStartDate1"/>
    <w:r>
      <w:rPr>
        <w:rFonts w:cs="Arial"/>
        <w:sz w:val="16"/>
        <w:szCs w:val="20"/>
      </w:rPr>
      <w:t>22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