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Bima Health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Bima Health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Sunhaven Rest Home &amp;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July 2016</w:t>
      </w:r>
      <w:bookmarkEnd w:id="7"/>
      <w:r w:rsidRPr="009418D4">
        <w:rPr>
          <w:rFonts w:cs="Arial"/>
        </w:rPr>
        <w:tab/>
        <w:t xml:space="preserve">End date: </w:t>
      </w:r>
      <w:bookmarkStart w:id="8" w:name="AuditEndDate"/>
      <w:r w:rsidR="00A4268A">
        <w:rPr>
          <w:rFonts w:cs="Arial"/>
        </w:rPr>
        <w:t>22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Currently building on to the existing premises. When completed, the two services will be separated. The timeframe for completion is the end of November 2016. It is proposed that overall this will provide 20 dementia level care and 20 psychogeriatric beds with supporting facilities for each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Sunhaven Rest Home and Private Hospital provides rest home dementia care and psychogeriatric hospital level care for up to 37 residents. The facility is operated by Bima Health Limited</w:t>
      </w:r>
    </w:p>
    <w:p w:rsidRPr="00A4268A">
      <w:pPr>
        <w:spacing w:before="240" w:line="276" w:lineRule="auto"/>
        <w:rPr>
          <w:rFonts w:eastAsia="Calibri"/>
        </w:rPr>
      </w:pPr>
      <w:r w:rsidRPr="00A4268A">
        <w:rPr>
          <w:rFonts w:eastAsia="Calibri"/>
        </w:rPr>
        <w:t xml:space="preserve">This unannounced surveillance audit has been undertaken to establish compliance with specified parts of the Health and Disability Services Standards and the service’s contract with the district health board (DHB). The audit process included the review of policies and procedures, supporting documentation, review of resident and staff files, observations and interviews with residents, families, management, staff and a GP. </w:t>
      </w:r>
    </w:p>
    <w:p w:rsidRPr="00A4268A">
      <w:pPr>
        <w:spacing w:before="240" w:line="276" w:lineRule="auto"/>
        <w:rPr>
          <w:rFonts w:eastAsia="Calibri"/>
        </w:rPr>
      </w:pPr>
      <w:r w:rsidRPr="00A4268A">
        <w:rPr>
          <w:rFonts w:eastAsia="Calibri"/>
        </w:rPr>
        <w:t>The areas that required improvement from the previous audit relating to the activities programme and enabler use have been addressed.</w:t>
      </w:r>
    </w:p>
    <w:p w:rsidRPr="00A4268A">
      <w:pPr>
        <w:spacing w:before="240" w:line="276" w:lineRule="auto"/>
        <w:rPr>
          <w:rFonts w:eastAsia="Calibri"/>
        </w:rPr>
      </w:pPr>
      <w:r w:rsidRPr="00A4268A">
        <w:rPr>
          <w:rFonts w:eastAsia="Calibri"/>
        </w:rPr>
        <w:t xml:space="preserve">There are 10 areas requiring improvement from this audit relating to corrective action plan implementation, referral of residents to the Needs Assessment and Service Coordination (NASC) team for reassessment, evaluation of care plans, short term care plans in response to changes in a resident’s condition, the management of medicines, restraint documentation including an appropriate policy, a restraint register, assessment and evaluation and surveillance of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Systems are in place to facilitate open, effective communication with family members. This includes detailed entries on the resident progress notes each shift, and family members being encouraged to participate in the care planning process, including the six-monthly multidisciplinary resident review.</w:t>
      </w:r>
    </w:p>
    <w:p w:rsidRPr="00A4268A">
      <w:pPr>
        <w:spacing w:before="240" w:line="276" w:lineRule="auto"/>
        <w:rPr>
          <w:rFonts w:eastAsia="Calibri"/>
        </w:rPr>
      </w:pPr>
      <w:r w:rsidRPr="00A4268A">
        <w:rPr>
          <w:rFonts w:eastAsia="Calibri"/>
        </w:rPr>
        <w:t>Information regarding residents’ rights, access to interpreter services and how to lodge a complaint was available to residents and their families.  The complaints register is current and all complaints have been entered. Residents and their families reported their satisfaction with the open communication with staff.</w:t>
      </w:r>
    </w:p>
    <w:p w:rsidRPr="00A4268A">
      <w:pPr>
        <w:spacing w:before="240" w:line="276" w:lineRule="auto"/>
        <w:rPr>
          <w:rFonts w:eastAsia="Calibri"/>
        </w:rPr>
      </w:pPr>
      <w:r w:rsidRPr="00A4268A">
        <w:rPr>
          <w:rFonts w:eastAsia="Calibri"/>
        </w:rPr>
        <w:t xml:space="preserve">There have been no investigations completed by the Health and Disability Commissioner and other external agencies since the previous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Bima Health Limited is the governing body and is responsible for the services provided. A business management plan and a quality and risk management plan were reviewed. An organisational flow chart details the positions of staff in the organisation. </w:t>
      </w:r>
    </w:p>
    <w:p w:rsidRPr="00A4268A">
      <w:pPr>
        <w:spacing w:before="240" w:line="276" w:lineRule="auto"/>
        <w:rPr>
          <w:rFonts w:eastAsia="Calibri"/>
        </w:rPr>
      </w:pPr>
      <w:r w:rsidRPr="00A4268A">
        <w:rPr>
          <w:rFonts w:eastAsia="Calibri"/>
        </w:rPr>
        <w:t>The facility is managed by a facility manager who has been in this position for nine years. The facility manager is supported by three clinical coordinators/registered nurses and who are responsible for the oversight of the clinical services in the facility.</w:t>
      </w:r>
    </w:p>
    <w:p w:rsidRPr="00A4268A">
      <w:pPr>
        <w:spacing w:before="240" w:line="276" w:lineRule="auto"/>
        <w:rPr>
          <w:rFonts w:eastAsia="Calibri"/>
        </w:rPr>
      </w:pPr>
      <w:r w:rsidRPr="00A4268A">
        <w:rPr>
          <w:rFonts w:eastAsia="Calibri"/>
        </w:rPr>
        <w:t xml:space="preserve">There is daily communication between the facility manager and the owner. The clinical coordinators meet with the facility manager daily.  </w:t>
      </w:r>
    </w:p>
    <w:p w:rsidRPr="00A4268A">
      <w:pPr>
        <w:spacing w:before="240" w:line="276" w:lineRule="auto"/>
        <w:rPr>
          <w:rFonts w:eastAsia="Calibri"/>
        </w:rPr>
      </w:pPr>
      <w:r w:rsidRPr="00A4268A">
        <w:rPr>
          <w:rFonts w:eastAsia="Calibri"/>
        </w:rPr>
        <w:t>There is an internal audit programme. Adverse events are documented on accident/incident forms. Quality data is being collected, collated and analysed. Graphs of clinical indicators are available for staff to view along with meeting minutes.</w:t>
      </w:r>
    </w:p>
    <w:p w:rsidRPr="00A4268A">
      <w:pPr>
        <w:spacing w:before="240" w:line="276" w:lineRule="auto"/>
        <w:rPr>
          <w:rFonts w:eastAsia="Calibri"/>
        </w:rPr>
      </w:pPr>
      <w:r w:rsidRPr="00A4268A">
        <w:rPr>
          <w:rFonts w:eastAsia="Calibri"/>
        </w:rPr>
        <w:t>Documentation, including policies and procedures have been reviewed and are current. There are policies and procedures on human resources management.  In-service education is provided for staff at least monthly.  Care staff reported they have either started or completed the New Zealand Qualifications Authority Unit Standards, including the dementia modules.</w:t>
      </w:r>
    </w:p>
    <w:p w:rsidRPr="00A4268A">
      <w:pPr>
        <w:spacing w:before="240" w:line="276" w:lineRule="auto"/>
        <w:rPr>
          <w:rFonts w:eastAsia="Calibri"/>
        </w:rPr>
      </w:pPr>
      <w:r w:rsidRPr="00A4268A">
        <w:rPr>
          <w:rFonts w:eastAsia="Calibri"/>
        </w:rPr>
        <w:t>A documented rationale for determining staffing levels and skill mixes is in place to provide safe service delivery. The facility manager and clinical coordinators are rostered on call after hours.  Care staff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have detailed care plans, which are developed and evaluated within required time frames. Residents are seen promptly by the doctor on admission, reviewed regularly, and referred promptly if their clinical needs change. </w:t>
      </w:r>
    </w:p>
    <w:p w:rsidRPr="00A4268A" w:rsidP="00621629">
      <w:pPr>
        <w:spacing w:before="240" w:line="276" w:lineRule="auto"/>
        <w:rPr>
          <w:rFonts w:eastAsia="Calibri"/>
        </w:rPr>
      </w:pPr>
      <w:r w:rsidRPr="00A4268A">
        <w:rPr>
          <w:rFonts w:eastAsia="Calibri"/>
        </w:rPr>
        <w:t xml:space="preserve">Three registered nurses share the clinical coordinator position, and if they are not on site one of these staff is always available on call, together with the facility manager. Registered nurses are on duty 24 hours a day and provide support and guidance to the caregiving staff.  Verbal handovers at the start of each shift, a written report for registered nurses, and updating of residents’ progress notes each shift help promote continuity of residents’ service delivery. Registered nurses, all of whom have completed medication competency assessments, are responsible for medication administration. </w:t>
      </w:r>
    </w:p>
    <w:p w:rsidRPr="00A4268A" w:rsidP="00621629">
      <w:pPr>
        <w:spacing w:before="240" w:line="276" w:lineRule="auto"/>
        <w:rPr>
          <w:rFonts w:eastAsia="Calibri"/>
        </w:rPr>
      </w:pPr>
      <w:r w:rsidRPr="00A4268A">
        <w:rPr>
          <w:rFonts w:eastAsia="Calibri"/>
        </w:rPr>
        <w:t xml:space="preserve">All aspects of food service delivery and management comply with legislation and guidelines. Kitchen staff have completed food safety training, and the kitchen was clean and tidy. A range of individual resident food likes/dislikes, as well as dietary and cultural needs, are accommodated, and there are well-established systems in place to monitor resident food/fluid intake on a daily basis. The summer and winter menus operate on a four-weekly menu cycle, and have been recently reviewed by a registered dietitian. </w:t>
      </w:r>
    </w:p>
    <w:p w:rsidRPr="00A4268A" w:rsidP="00621629">
      <w:pPr>
        <w:spacing w:before="240" w:line="276" w:lineRule="auto"/>
        <w:rPr>
          <w:rFonts w:eastAsia="Calibri"/>
        </w:rPr>
      </w:pPr>
      <w:r w:rsidRPr="00A4268A">
        <w:rPr>
          <w:rFonts w:eastAsia="Calibri"/>
        </w:rPr>
        <w:t>An experienced diversional therapist coordinates the activities programme, which provides a range of activities seven days per week. A previous finding related to ensuring the activities programme was meaningful to residents has been addressed.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An extension to the existing building is currently being built and will provide accommodation and supporting facilities for 20 dementia level care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interview of the facility manager demonstrated residents are experiencing services that are the least restrictive.  There are currently residents using restraint. There are no residents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Well-developed processes and systems are in place for collecting and collating infection-related data.  Surveillance results are reported to the clinical quality committee, and discussed at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7"/>
        <w:gridCol w:w="1280"/>
        <w:gridCol w:w="100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the management of complaints. There are appropriate systems in place to manage the complaints processes.  The complaints register is current and all complaints have been entered. All complaints have been investigated and complainants provided with responses in a timely manner. There was evidence that complainants were satisfied with the outcome of these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investigations by the Health and Disability Commissioner, the Ministry of Health, DHB, Accident Compensation Corporation (ACC), Coroner or Police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ensures residents and their families are advised on entry to the facility of the complaint processes.  Residents and families demonstrated an understanding and awareness of these processes. Review of the collated family surveys evidenced families knew the process for making a complaint and found management very approachable.</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and staff meeting minutes evidenced reporting of any complaints is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records reviewed included evidence of open disclosure and timely communication with residents/families. Communication was documented in family communication sheets, on accident/incident forms as well as the detailed documentation in the residents’ progress notes. Four family members interviewed stated they were informed in a timely manner about any changes to the resident’s status, and appreciated the ongoing communication with staff. A fifth family member did not feel confident they were being kept fully informed. Evidence was sighted of both families, and where possible, residents having input into the care planning process, and of family input into the six-monthly multidisciplinary residents’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coordinator advised that interpreter services were able to be accessed from the Taranaki District Health Board when required. In addition, facility staff also speak a number of languages and are available to assist,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management plan includes a philosophy, objectives, a mission statement, values and a vision.   There are systems in place for monitoring the service and regular daily communication takes place between senior management and the owner. The owner shares an office with the facility manager and works in the business. </w:t>
            </w:r>
          </w:p>
          <w:p w:rsidR="00EB7645" w:rsidRPr="00BE00C7" w:rsidP="00BE00C7">
            <w:pPr>
              <w:pStyle w:val="OutcomeDescription"/>
              <w:spacing w:before="120" w:after="120"/>
              <w:rPr>
                <w:rFonts w:cs="Arial"/>
                <w:b w:val="0"/>
                <w:lang w:eastAsia="en-NZ"/>
              </w:rPr>
            </w:pPr>
            <w:r w:rsidRPr="00BE00C7">
              <w:rPr>
                <w:rFonts w:cs="Arial"/>
                <w:b w:val="0"/>
                <w:lang w:eastAsia="en-NZ"/>
              </w:rPr>
              <w:t>Sunhaven Rest Home and Private Hospital (Sunhaven) is managed by a facility manager (FM) who has been in this role for nine years. The facility manager has attended management courses since the last audit and attends the DHB leadership forums every three months. The facility manager is supported by three clinical coordinators and the owner.  The facility manager also stated they are supported well from personnel from their local DHB. Two of the clinical coordinators are experienced registered nurses and the third is currently being orientated to their role. The annual practising certificates for the clinical coordinators are current.  There was evidence in the clinical coordinator’s files of education, including that relating to clinical governance.</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Sunhaven is certified to provide psychogeriatric hospital and rest home dementia care. On the first day of this audit there were 20 psychogeriatric level care residents and 13 rest home dementia level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assessment and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being collected, collated and analysed and trends identified.  There was good evidence of this for clinical indicators, including corrective actions and graphing, and this information is being reported back to staff. Staff confirmed this.  Although there was evidence of corrective actions being developed following deficits identified in internal audits, there was no evidence of implementation, who was responsible and timeframe for completion. Where there were deficits identified, for example the medication audit, there was no evidence of improvement. There was some evidence in the meeting minutes of corrective actions brought forward from internal audits, however, evidence of implementation was inconsistent.</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references legislative requirements.  Policies and procedures have been reviewed and are current. The restraint policy is not appropriate to the services provided (refer criterion 2.2.1.1).</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in place. There is a hazard reporting system available.  A hazard register identified potential health and safety risks and includes risks associated with human resources management, legislative compliance, contractual and clinical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of staff evidenced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 The family survey also confirmed this.</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facility manager and owner reported there have not been any essential notifications to the Ministry of Health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within the service is documented in job descriptions which outline accountability, responsibilities and authority.  Staff files sampled had evidence of reference checking, job descriptions, employment agreements, an orientation, police vetting and current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in-service education programme. The in-service education programme for 2015 and 2016 evidenced education is provided at least monthly for staff and covers all required topics. Outside speakers present some sessions and staff also attend educations externally. All staff have either completed or started the dementia specific modules through New Zealand Qualifications Authority Unit Standards. Registered nurses are responsible for medicine management. Staff files evidenced current competency assessments, however, education around medicines has not been provided in the last two years. (Refer criterion 1.3.12.1). Restraint competency assessment are current for all clinical staff. Two of the RNs are trained in the interRAI assessment programme and have documentation that verifies they are currently competent.</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Annual practising certificates are current for registered nurses and contracted health professionals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cover is provided 24 hours, seven days a week.  On call after hours is provided by the facility manager and coordinators. The minimum number of staff on duty is during the night and consists of a registered nurse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there is adequate staff available and that they are able to get through their work. Family interviewed reported staff provide their relative with adequate care. Observations during this audit confirmed adequate staff cover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all of whom had been assessed as competent in medication administration, are responsible for medication administration in the facility. A clinical coordinator and the doctor advised that there had been some recent difficulties with the contracted pharmacy in relation to the faxing of prescriptions and subsequent supply of medications, with systems now being put in place to address this. The facility manager and service owner confirmed that the service will be moving to an electronic medication management system later this year.  Service improvements are required in relation to the  maintenance of the controlled drugs register, medication administration records, medication prescriptions, and medication-related education for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observation of a medication round confirmed that medications were administered in a safe and appropriate manner.  No residents are self-medicating.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experienced and qualified cook, including food safety qualifications, is responsible for food services.  The kitchen caters for a range of nutritional requirements, including diabetic, soft and puree diets. A four weekly menu, with summer and winter options, was last reviewed by a registered dietician in May 2016, report sighted. A dietary profile is completed when residents are admitted and details of their likes/dislikes and special nutritional needs recorded on the kitchen whiteboard. Residents are weighed monthly and nutritional supplements administered as prescribed.  Refer also to criterion 1.3.8.2.  Two dining areas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On inspection, the kitchen was well maintained, clean and tidy. Food storage complied with all current legislation. Food in the fridge and freezers was dated and covered. Cleaning schedules were sighted. Records were sighted that fridge and freezer temperatures were monitored daily and remained within recommended ranges. Experienced and appropriately qualified staff are responsible for food services within the facility.  Resident satisfaction with food is monitored through informal conversations with residents, and careful monitoring of what residents are eating, as well as monthly weighing. There are well-established systems in place to ensure that all residents are offered food and fluids on a regular basis.  Residents talked with during the audit visit confirmed that they enjoyed the meals and they were provided with ample quantities of food. Their comments were also echoed by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residents’ records reviewed of regular, timely and comprehensive ongoing assessment of needs which then informed the provision of care services. Refer also to criteria 1.3.3.3, 1.3.8.2, 1.3.8.3. InterRAI assessments were current and there are effective processes in place to ensure assessment outcomes are reflected in residents’ care plans. Residents’ progress notes are updated each shift. Registered nurses are on duty 24 hours a day who provide support and guidance for care delivery staff. The doctor visits weekly and expressed confidence that their prescribed care was being implemented, and that they were being advised in a timely manner when residents’ needs changed. The doctor noted that registered nursing staff had been “stretched” recently when there was a sudden influx of a number of new residents.  During the audit visit, staff were noted to respond promptly, professionally and patiently to residents requiring additional or urgent support and guidance.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have recently been assessed as no longer requiring the specialist care provided by the service, and transfer to other facilities is currently in process.  The documentation in their clinical records indicated that in the interim their care needs are being met, except in relation to wound care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members of the diversional therapy team – the qualified diversional therapist, with three years’ experience in this role, and a caregiver who has been working in the activities programme for eight months. Between them they provide 42 hours of formal activities weekly, with other activities offered on a more informal basis by care 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their assistant advised that residents’ previous and current interests are assessed on admission and individual activity plans completed within three weeks and reviewed six monthly, as confirmed in resident records. These plans help inform the development of the activity programme, which is provided to both groups and on a one-on-one basis.  A weekly activities programme is developed, but as the diversional therapy team explained, there is flexibility around programme delivery, so that they can accommodate and respond to resident wishes and preferences on the day.  The activities programme includes crafts, games, entertainment, music therapy, puzzles and quizzes, a variety of outings using mobility taxis, walks, aromatherapy, sensory stimulation activities and music therapy.   An individual record is maintained of resident participation in the activities programme, summarised every two weeks, and reviewed six monthly, as confirmed in resident records. Three residents, and two family member advised that the activities programme was meeting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are consistently evaluated by registered nurses at least six-monthly, although the detail included in those evaluations was often limited. Wound care evaluation was infrequently documented, and the evaluation of strategies to prevent constipation was also erratic when residents were independent with toileting.</w:t>
            </w:r>
          </w:p>
          <w:p w:rsidR="00EB7645" w:rsidRPr="00BE00C7" w:rsidP="00BE00C7">
            <w:pPr>
              <w:pStyle w:val="OutcomeDescription"/>
              <w:spacing w:before="120" w:after="120"/>
              <w:rPr>
                <w:rFonts w:cs="Arial"/>
                <w:b w:val="0"/>
                <w:lang w:eastAsia="en-NZ"/>
              </w:rPr>
            </w:pPr>
            <w:r w:rsidRPr="00BE00C7">
              <w:rPr>
                <w:rFonts w:cs="Arial"/>
                <w:b w:val="0"/>
                <w:lang w:eastAsia="en-NZ"/>
              </w:rPr>
              <w:t>Although residents have comprehensive care plans, these plans were not always updated to reflect changes in care needs or new plans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 new unit is currently being built that will extend the existing building. This will, when completed, provide separate units for residents assessed as requiring rest home dementia level care and residents who require psychogeriatric hospital level care. The owner advised once finished the two units with supporting facilities will accommodate 20 dementia level care residents in the new unit and 20 psychogeriatric hospital level care residents in the existing building. The owner advised the building work is scheduled to be completed by the end of November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structured approach to monitoring infections. Surveillance data is collated and analysed by the infection control coordinator, and reported through a variety of mechanisms to staff and management.  Data is not currently being analysed in relation to recent trends. Each month a corrective action form is completed related to the surveillance results, including non-conformance details, remedial action and root cause analysis. Refer also to criterion 1.2.3.8.. Surveillance results are discussed at the clinical quality meeting and reported at staff meetings, as evidenced in meeting minutes. The infection control coordinator advised that results are also informally discussed at staff handovers should any issues/concerns be identified, which was confirmed by several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enablers and three residents using restraint. There was evidence that staff are activity minimising the use of restraint. Restraint use has decreased by two since the last audit and the restraint coordinator stated it is their aim to have no restraint used at all. Staff were able to describe the process should restraint be required and were clear about the difference between a restraint and an enabler. Management and staff interviewed now have a clear understanding of the definition of an enabler. Mobility aids documented as an enabler at the last audit are no longer classed as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procedure is not appropriate for the size and complexity of the organisation. The policy is more aligned to a big organisation and there is reference to a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before restraint is used. However, the assessment form does not include items (a) to (h) under 2.2.2.1.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forms were being used as a register for each resident.  There is no overall restraint register that documents all residents using restraint, the date restraint commenced, type of restraint and when any restraint was discontinued.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evaluation of individual restraint use completed on a regular basis, however, there is no evaluation form to meet the requirements set out under standard 2.2.4.1.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15"/>
        <w:gridCol w:w="1280"/>
        <w:gridCol w:w="4469"/>
        <w:gridCol w:w="1592"/>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good evidence of corrective actions for clinical indicators, with graphing of data. This information is being reported back to staff as confirmed by staff. There was evidence of corrective actions being developed following deficits identified in internal audits, however, there was no evidence of implementation, who was responsible and timeframe for completion. For example, the medicine audits for the last two years had a number of deficits, but there was no evidence of improvement. The medicines audit completed in September 2015 had corrective actions developed. There was no evidence of implementation and review for effectiveness, with the next medicines audit scheduled for 12 months’ time. There was some evidence in the meeting minutes of corrective actions brought forward from internal audits, however, documented evidence to support implementation was inconsistent.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corrective actions developed for deficits identified in internal audits. Meeting minutes evidences some implementation of corrective actions, however this was inconsistent.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implemented for all areas requiring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using the robotics medication system, is supplied to the pharmacy on a monthly basis, with evidence sighted of registered nurses checking this medication on arrival in the facility.  Surplus and expired medication is taken to the pharmacy on a regular basis by the facility owner. All medications sighted in both the medication trolley and in the medication cupboards were within current use-by dates.  The currency of medication is checked fortnight by registered nurses, and these checks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sixteen medication charts reviewed contained a current photograph of the resident, their allergy status was documented, three-monthly medication reviews were documented, and with one exception medication administration records were complete. In that instance, a medication was charted to be administered fortnightly. The administration record for that medication did not include the resident’s name or NHI number, and there was no documented explanation as to why one dose of the medication had not been administered, although a clinical coordinator advised that the resident had refused the medication on that occasion. Three medication charts included medications that had been discontinued (dated and ruled through) but did not include the signature of the prescriber. In two instances new medications had been added to the medication chart, signed for by the prescriber but the date of the prescription was not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medication fridge is checked weekly - records sighted, and temperatures remained within appropriate levels. Laboratory specimens were stored in the medication fridge prior to being taken to the laboratory.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no controlled drugs in the controlled drugs cabinet. A review of the controlled drugs register confirmed that when these drugs were being used, weekly checks of medication balances were undertaken. In six instances, when these medications were no longer required they were documented as being returned to the pharmacy. However rather than the balance in the register being recorded as nil, the number that had been returned was incorrectly entered in the ‘balance’ column.  In another entry dated May 2015, the balance of a controlled drug was recorded as 70mls, the remainder of the page was left blank, and there was no record of the medication having been returned to the pharmacy. A further examination of the register revealed the medication balance had been transferred to another page, and after several further doses had been administered, the remainder had been returned to the pharmacy.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Aspects of medication management are not consistent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2. The controlled drugs register is not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There was no name or NHI number on the administration record of a resident receiving a fortnightly medication, and no record of why this medication was not administered on one occasion.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Three discontinued medications did not include the signature of the prescriber, and in two instances there was no date recorded on the medication chart when a new medication was added to that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5. RNs have current medication competency but there was no evidence of medication-related education in almost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are consistent with relevant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Nurses involved in medication administration receive medication-related education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current interRAI assessment, as confirmed in the interRAI status report. One of the three nurses who share the clinical coordinator role explained how these assessments then inform the residents’ care plans.  Two staff are currently qualified as interRAI assessors, with the facility manager advising that an additional three staff members will be booked for assessor training in the near future. The service will also make arrangements to ensure that in the interim all registered nurses are able to freely access the interRAI assessment records.  In all of the clinical files reviewed, initial assessments/care plans, the development of long-term care plans, ongoing evaluations and interRAI reassessments, as well as medical admissions, regular and acute reviews had been completed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coordinator confirmed that twelve residents had recently been reassessed by the Needs Assessment Service (NASC) on the basis of their interRAI assessments. These residents had not been referred to the NASC by the service when their needs levels had changed. Following reassessment by the NASC, five residents were subsequently transferred out of the facility, with plans underway to transfer out several other residents.  The coordinator advised that the service had referred two residents to the NASC service when they had identified changes of care needs but there was no documentation sighted related to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management folder included a wound register, and completed wound assessments for a number of wounds.  There was no wound management documentation, including entry on the wound register, and wound evaluation/assessments, for two residents with current wounds.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Residents are not being referred to the NASC service for reassessment when their level of care needs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Wound care management plans are not in place for all residents requiring wound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referred promptly to the NASC service for reassessment when their care need levels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management plans are in place for all residents requiring wound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care plans were reviewed, and all had been reviewed at least six-monthly. Approximately half of these evaluations are detailed, and contain a range of information related to how the resident has responded to the planned care.  In the remainder of plans, the evaluation comments were limited to phrases such as “no changes made” rather than indicating resident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wound management plans was not well documented. Refer also to criterion 1.3.3. Four wound management plans were reviewed. Although these all contained a completed wound assessment and management plan, only one contained a detailed wound evaluation record.  A clinical coordinator advised that evaluations are most often documented in the progress notes, or in the registered nurse handover form, and some wound-related evaluations were noted in the handover forms.  Refer also to 1.3.8.3.  The evaluations of two residents who had experienced clinically significant weight loss in the past year did not include references to the weight loss. Both these residents had been prescribed and were being administered nutritional supplements.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monitoring/evaluation of whether residents were experiencing constipation was consistently recorded in the activities of daily living form and  a bowel-monitoring form in the clinical files of four residents who were not independently toileting.  The clinical records of two residents who were independent with toileting, but had been assessed as at risk of constipation, contained little information relating to bowel status. Both of these residents had periods of up to eight days in a row without an entry in their clinical record related to their bowel status. Refer also to criterion 1.3.3.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evaluations of residents’ responses to planned care do not consistently include sufficient detail and/or reflect changes in clinical status or clinical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wound management is incomplete.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residents’ responses to planned care are fully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sighted in all of the care plans reviewed that these plans were generally updated in relation to the evaluation findings, even when the evaluation details were not comprehensive. Two exceptions were the updating of plans to reflect resident weight loss, although in both instances there was evidence in the progress notes and medication charts of appropriate interventions being implemented to address identified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of a resident with acute care needs, who was receiving intensive treatment related to their clinical situation, had not been updated to reflect the changes in their treatment, or a short term care plan developed related to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care plans are not updated and/or short term care plans developed in response to resident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care plans are updated, and/or short term plans developed when resident progress is different from what was expected, and/or care needs changed.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gathering and collation of infection-related data is systematic, and records confirm this information is collected monthly.  This includes infections related to skin/wound, urinary tract infections, respiratory, eye, ear, nose, mouth and gastro-intestinal.  Data for each month is analysed, and a graph of that month’s results developed.  At the end of each year a graph is produced that identifies infection trends and results across that year.  There is currently no mechanism for ensuring that results are analysed from month to month, to facilitate the early identification of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surveillance data being analysed in relation to results for the previous month(s), except for the annual comparison which is completed at the end of each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analysis of surveillance data includes analysis of the results, not only in relation to the monthly result, but also in relation to recent trends.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policy and procedure is in place, however, it has not been individualised to this facility. The policy is more aligned to a big organisation and references a 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procedure is more suitable for restraint use in a large organisation, and references a 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restraint policy and procedure that is appropriate to the level of service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assessment form is used for the assessment of residents. However it does not meet the requirements of the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form does not include items (a) to (h) under this criterion.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Expand the assessment form to include (a) to (h).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an overall restraint register and the restraint coordinator stated they have not seen one and that one would need to be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was not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restraint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was evidence of regular evaluation of individual restraint use, there is no evaluation form that includes items (a) to (k).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restraint evaluation form available that meets the requirements of this criterion.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an evaluation form that meets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Bima Health Limited</w:t>
    </w:r>
    <w:bookmarkEnd w:id="58"/>
    <w:r>
      <w:rPr>
        <w:rFonts w:cs="Arial"/>
        <w:sz w:val="16"/>
        <w:szCs w:val="20"/>
      </w:rPr>
      <w:tab/>
      <w:t xml:space="preserve">Date of Audit: </w:t>
    </w:r>
    <w:bookmarkStart w:id="59" w:name="AuditStartDate1"/>
    <w:r>
      <w:rPr>
        <w:rFonts w:cs="Arial"/>
        <w:sz w:val="16"/>
        <w:szCs w:val="20"/>
      </w:rPr>
      <w:t>21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