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73081">
      <w:pPr>
        <w:pStyle w:val="Heading1"/>
        <w:rPr>
          <w:rFonts w:cs="Arial"/>
        </w:rPr>
      </w:pPr>
      <w:bookmarkStart w:id="0" w:name="PRMS_RIName"/>
      <w:r>
        <w:rPr>
          <w:rFonts w:cs="Arial"/>
        </w:rPr>
        <w:t>Northland District Health Board</w:t>
      </w:r>
      <w:bookmarkEnd w:id="0"/>
    </w:p>
    <w:p w:rsidR="00460D43" w:rsidRDefault="00B73081">
      <w:pPr>
        <w:pStyle w:val="Heading2"/>
        <w:spacing w:after="0"/>
        <w:rPr>
          <w:rFonts w:cs="Arial"/>
        </w:rPr>
      </w:pPr>
      <w:r>
        <w:rPr>
          <w:rFonts w:cs="Arial"/>
        </w:rPr>
        <w:t>Introduction</w:t>
      </w:r>
    </w:p>
    <w:p w:rsidR="00460D43" w:rsidRDefault="00B7308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B73081">
      <w:pPr>
        <w:spacing w:before="240"/>
        <w:rPr>
          <w:rFonts w:cs="Arial"/>
        </w:rPr>
      </w:pPr>
      <w:r>
        <w:rPr>
          <w:rFonts w:cs="Arial"/>
        </w:rPr>
        <w:t xml:space="preserve">The audit </w:t>
      </w:r>
      <w:r>
        <w:rPr>
          <w:rFonts w:cs="Arial"/>
        </w:rPr>
        <w:t xml:space="preserve">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B73081">
      <w:pPr>
        <w:spacing w:before="240"/>
        <w:rPr>
          <w:rFonts w:cs="Arial"/>
        </w:rPr>
      </w:pPr>
      <w:r>
        <w:rPr>
          <w:rFonts w:cs="Arial"/>
          <w:lang w:eastAsia="en-NZ"/>
        </w:rPr>
        <w:t>The abbreviations used in this rep</w:t>
      </w:r>
      <w:r>
        <w:rPr>
          <w:rFonts w:cs="Arial"/>
          <w:lang w:eastAsia="en-NZ"/>
        </w:rPr>
        <w:t xml:space="preserve">ort are the same as those specified in section 10 of the </w:t>
      </w:r>
      <w:r>
        <w:rPr>
          <w:rFonts w:cs="Arial"/>
        </w:rPr>
        <w:t>Health and Disability Services (General) Standards (NZS8134.0:2008).</w:t>
      </w:r>
    </w:p>
    <w:p w:rsidR="00460D43" w:rsidRDefault="00B73081" w:rsidP="005A5115">
      <w:pPr>
        <w:spacing w:before="240" w:after="240"/>
        <w:rPr>
          <w:rFonts w:cs="Arial"/>
        </w:rPr>
      </w:pPr>
      <w:r>
        <w:rPr>
          <w:rFonts w:cs="Arial"/>
        </w:rPr>
        <w:lastRenderedPageBreak/>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73081">
      <w:pPr>
        <w:spacing w:before="240" w:after="240"/>
        <w:rPr>
          <w:rFonts w:cs="Arial"/>
          <w:lang w:eastAsia="en-NZ"/>
        </w:rPr>
      </w:pPr>
      <w:r>
        <w:rPr>
          <w:rFonts w:cs="Arial"/>
          <w:lang w:eastAsia="en-NZ"/>
        </w:rPr>
        <w:t>The specifics of this audit included:</w:t>
      </w:r>
    </w:p>
    <w:p w:rsidR="009D18F5" w:rsidRPr="009D18F5" w:rsidRDefault="00B7308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7308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Northland District Health Board</w:t>
      </w:r>
      <w:bookmarkEnd w:id="4"/>
    </w:p>
    <w:p w:rsidR="005A5115" w:rsidRPr="009418D4" w:rsidRDefault="00B730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Bay of Islands Hospi</w:t>
      </w:r>
      <w:r>
        <w:rPr>
          <w:rFonts w:cs="Arial"/>
        </w:rPr>
        <w:t>tal||Dargaville Hospital||Kaitaia Hospital||Te Kokonga Hauora||Tu Kaha||Whangarei Hospital||He Manu Pae</w:t>
      </w:r>
      <w:bookmarkEnd w:id="5"/>
    </w:p>
    <w:p w:rsidR="005A5115" w:rsidRPr="009418D4" w:rsidRDefault="00B730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w:t>
      </w:r>
      <w:r>
        <w:rPr>
          <w:rFonts w:cs="Arial"/>
        </w:rPr>
        <w:t xml:space="preserve">Residential disability services - Psychiatric; </w:t>
      </w:r>
      <w:r>
        <w:rPr>
          <w:rFonts w:cs="Arial"/>
        </w:rPr>
        <w:lastRenderedPageBreak/>
        <w:t>Hospital services - Surgical services; Hospital services - Maternity services</w:t>
      </w:r>
      <w:bookmarkEnd w:id="6"/>
    </w:p>
    <w:p w:rsidR="005A5115" w:rsidRPr="009418D4" w:rsidRDefault="00B730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June 2016</w:t>
      </w:r>
      <w:bookmarkEnd w:id="7"/>
      <w:r w:rsidRPr="009418D4">
        <w:rPr>
          <w:rFonts w:cs="Arial"/>
        </w:rPr>
        <w:tab/>
        <w:t xml:space="preserve">End date: </w:t>
      </w:r>
      <w:bookmarkStart w:id="8" w:name="AuditEndDate"/>
      <w:r>
        <w:rPr>
          <w:rFonts w:cs="Arial"/>
        </w:rPr>
        <w:t>23 June 2016</w:t>
      </w:r>
      <w:bookmarkEnd w:id="8"/>
    </w:p>
    <w:p w:rsidR="005A5115" w:rsidRPr="009418D4" w:rsidRDefault="00B7308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E419F6" w:rsidRPr="009418D4" w:rsidRDefault="00B7308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w:t>
      </w:r>
      <w:r w:rsidRPr="009D18F5">
        <w:rPr>
          <w:rFonts w:cs="Arial"/>
          <w:b/>
        </w:rPr>
        <w:t>pied across all premises included in the audit on the first day of the audit:</w:t>
      </w:r>
      <w:r w:rsidRPr="009418D4">
        <w:rPr>
          <w:rFonts w:cs="Arial"/>
        </w:rPr>
        <w:t xml:space="preserve"> </w:t>
      </w:r>
      <w:bookmarkStart w:id="10" w:name="BedsOccupied"/>
      <w:r w:rsidRPr="009418D4">
        <w:rPr>
          <w:rFonts w:cs="Arial"/>
        </w:rPr>
        <w:t>242</w:t>
      </w:r>
      <w:bookmarkEnd w:id="10"/>
    </w:p>
    <w:p w:rsidR="009D18F5" w:rsidRDefault="00B7308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73081">
      <w:pPr>
        <w:pStyle w:val="Heading1"/>
        <w:rPr>
          <w:rFonts w:cs="Arial"/>
        </w:rPr>
      </w:pPr>
      <w:r>
        <w:rPr>
          <w:rFonts w:cs="Arial"/>
        </w:rPr>
        <w:lastRenderedPageBreak/>
        <w:t>Executive summary of the audit</w:t>
      </w:r>
    </w:p>
    <w:p w:rsidR="00460D43" w:rsidRDefault="00B73081">
      <w:pPr>
        <w:pStyle w:val="Heading2"/>
        <w:rPr>
          <w:rFonts w:cs="Arial"/>
        </w:rPr>
      </w:pPr>
      <w:r>
        <w:rPr>
          <w:rFonts w:cs="Arial"/>
        </w:rPr>
        <w:t>Introduction</w:t>
      </w:r>
    </w:p>
    <w:p w:rsidR="00460D43" w:rsidRDefault="00B73081">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w:t>
      </w:r>
      <w:r>
        <w:rPr>
          <w:rFonts w:cs="Arial"/>
          <w:lang w:eastAsia="en-NZ"/>
        </w:rPr>
        <w:t>contained within the Health and Disability Services Standards:</w:t>
      </w:r>
    </w:p>
    <w:p w:rsidR="00460D43" w:rsidRDefault="00B73081">
      <w:pPr>
        <w:pStyle w:val="ListParagraph"/>
        <w:numPr>
          <w:ilvl w:val="0"/>
          <w:numId w:val="1"/>
        </w:numPr>
        <w:spacing w:before="240" w:after="240"/>
        <w:rPr>
          <w:rFonts w:cs="Arial"/>
          <w:lang w:eastAsia="en-NZ"/>
        </w:rPr>
      </w:pPr>
      <w:r>
        <w:rPr>
          <w:rFonts w:cs="Arial"/>
          <w:lang w:eastAsia="en-NZ"/>
        </w:rPr>
        <w:t>consumer rights</w:t>
      </w:r>
    </w:p>
    <w:p w:rsidR="00460D43" w:rsidRDefault="00B73081">
      <w:pPr>
        <w:pStyle w:val="ListParagraph"/>
        <w:numPr>
          <w:ilvl w:val="0"/>
          <w:numId w:val="1"/>
        </w:numPr>
        <w:spacing w:before="240" w:after="240"/>
        <w:rPr>
          <w:rFonts w:cs="Arial"/>
          <w:lang w:eastAsia="en-NZ"/>
        </w:rPr>
      </w:pPr>
      <w:r>
        <w:rPr>
          <w:rFonts w:cs="Arial"/>
          <w:lang w:eastAsia="en-NZ"/>
        </w:rPr>
        <w:t>organisational management</w:t>
      </w:r>
    </w:p>
    <w:p w:rsidR="00460D43" w:rsidRDefault="00B7308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7308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7308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73081">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B73081">
      <w:pPr>
        <w:pStyle w:val="Heading2"/>
        <w:spacing w:after="0"/>
        <w:rPr>
          <w:rFonts w:cs="Arial"/>
        </w:rPr>
      </w:pPr>
      <w:r>
        <w:rPr>
          <w:rFonts w:cs="Arial"/>
        </w:rPr>
        <w:t>General overview of the audit</w:t>
      </w:r>
    </w:p>
    <w:p w:rsidR="00E536CC" w:rsidRDefault="00B73081">
      <w:pPr>
        <w:spacing w:before="240" w:line="276" w:lineRule="auto"/>
        <w:rPr>
          <w:rFonts w:eastAsia="Calibri"/>
        </w:rPr>
      </w:pPr>
      <w:bookmarkStart w:id="11" w:name="GeneralOverview"/>
      <w:r w:rsidRPr="00A4268A">
        <w:rPr>
          <w:rFonts w:eastAsia="Calibri"/>
        </w:rPr>
        <w:t xml:space="preserve">Northland District Health Board (NDHB) provides health services to the people of Northland. There are 403 </w:t>
      </w:r>
      <w:r w:rsidRPr="00A4268A">
        <w:rPr>
          <w:rFonts w:eastAsia="Calibri"/>
        </w:rPr>
        <w:t>beds across Whangarei hospital, Kaitaia hospital, Dargaville hospital and Bay of Islands hospital. In addition to visiting all four hospitals, the audit team visited Te Kokonga Hauora psychiatric residential disability service in Kaitaia and Te Kaha psychi</w:t>
      </w:r>
      <w:r w:rsidRPr="00A4268A">
        <w:rPr>
          <w:rFonts w:eastAsia="Calibri"/>
        </w:rPr>
        <w:t xml:space="preserve">atric residential disability service in Kaikohe. Facilities vary in age but are well maintained. The </w:t>
      </w:r>
      <w:r w:rsidRPr="00A4268A">
        <w:rPr>
          <w:rFonts w:eastAsia="Calibri"/>
        </w:rPr>
        <w:lastRenderedPageBreak/>
        <w:t>new maternity building at Whangarei is now open and the Bay of Islands hospital building upgrade is planned. The Board and executive team are stable and su</w:t>
      </w:r>
      <w:r w:rsidRPr="00A4268A">
        <w:rPr>
          <w:rFonts w:eastAsia="Calibri"/>
        </w:rPr>
        <w:t>pport a culture focused on the patient and provision of safe quality care.</w:t>
      </w:r>
    </w:p>
    <w:p w:rsidR="00E419F6" w:rsidRPr="00A4268A" w:rsidRDefault="00B73081">
      <w:pPr>
        <w:spacing w:before="240" w:line="276" w:lineRule="auto"/>
        <w:rPr>
          <w:rFonts w:eastAsia="Calibri"/>
        </w:rPr>
      </w:pPr>
      <w:r w:rsidRPr="00A4268A">
        <w:rPr>
          <w:rFonts w:eastAsia="Calibri"/>
        </w:rPr>
        <w:t>The audit team was provided with a comprehensive self-assessment with supporting evidence from the DHB prior to the audit and met with patients and their families, staff and manager</w:t>
      </w:r>
      <w:r w:rsidRPr="00A4268A">
        <w:rPr>
          <w:rFonts w:eastAsia="Calibri"/>
        </w:rPr>
        <w:t>s while on site.  There were nine clinical tracers undertaken and two systems tracers.</w:t>
      </w:r>
    </w:p>
    <w:p w:rsidR="00E419F6" w:rsidRPr="00A4268A" w:rsidRDefault="00B73081">
      <w:pPr>
        <w:spacing w:before="240" w:line="276" w:lineRule="auto"/>
        <w:rPr>
          <w:rFonts w:eastAsia="Calibri"/>
        </w:rPr>
      </w:pPr>
      <w:r w:rsidRPr="00A4268A">
        <w:rPr>
          <w:rFonts w:eastAsia="Calibri"/>
        </w:rPr>
        <w:t>Across the organisation the audit team was provided with data and other evidence confirming ongoing quality improvement activities with monitoring of outcomes to support</w:t>
      </w:r>
      <w:r w:rsidRPr="00A4268A">
        <w:rPr>
          <w:rFonts w:eastAsia="Calibri"/>
        </w:rPr>
        <w:t xml:space="preserve"> good practice.</w:t>
      </w:r>
    </w:p>
    <w:p w:rsidR="00E419F6" w:rsidRPr="00A4268A" w:rsidRDefault="00B73081">
      <w:pPr>
        <w:spacing w:before="240" w:line="276" w:lineRule="auto"/>
        <w:rPr>
          <w:rFonts w:eastAsia="Calibri"/>
        </w:rPr>
      </w:pPr>
      <w:bookmarkStart w:id="12" w:name="_GoBack"/>
      <w:bookmarkEnd w:id="12"/>
      <w:r w:rsidRPr="00A4268A">
        <w:rPr>
          <w:rFonts w:eastAsia="Calibri"/>
        </w:rPr>
        <w:t xml:space="preserve">There are eight required improvements arising from this audit in regards to resuscitation plans, mandatory training, security </w:t>
      </w:r>
      <w:r w:rsidRPr="00A4268A">
        <w:rPr>
          <w:rFonts w:eastAsia="Calibri"/>
        </w:rPr>
        <w:lastRenderedPageBreak/>
        <w:t>of information, documentation of multidisciplinary discussions, assessment documentation, care planning, medicine</w:t>
      </w:r>
      <w:r w:rsidRPr="00A4268A">
        <w:rPr>
          <w:rFonts w:eastAsia="Calibri"/>
        </w:rPr>
        <w:t xml:space="preserve"> management and the use of enablers.</w:t>
      </w:r>
    </w:p>
    <w:bookmarkEnd w:id="11"/>
    <w:p w:rsidR="00E419F6" w:rsidRPr="00A4268A" w:rsidRDefault="00E419F6">
      <w:pPr>
        <w:spacing w:before="240" w:line="276" w:lineRule="auto"/>
        <w:rPr>
          <w:rFonts w:eastAsia="Calibri"/>
        </w:rPr>
      </w:pPr>
    </w:p>
    <w:p w:rsidR="00460D43" w:rsidRDefault="00B73081" w:rsidP="000E6E02">
      <w:pPr>
        <w:pStyle w:val="Heading2"/>
        <w:spacing w:before="0"/>
        <w:rPr>
          <w:rFonts w:cs="Arial"/>
        </w:rPr>
      </w:pPr>
      <w:r>
        <w:rPr>
          <w:rFonts w:cs="Arial"/>
        </w:rPr>
        <w:t>Consumer rights</w:t>
      </w:r>
    </w:p>
    <w:p w:rsidR="00460D43" w:rsidRDefault="00B73081">
      <w:pPr>
        <w:spacing w:before="240" w:line="276" w:lineRule="auto"/>
        <w:rPr>
          <w:rFonts w:eastAsia="Calibri"/>
        </w:rPr>
      </w:pPr>
      <w:bookmarkStart w:id="13" w:name="ConsumerRights"/>
      <w:r w:rsidRPr="00A4268A">
        <w:rPr>
          <w:rFonts w:eastAsia="Calibri"/>
        </w:rPr>
        <w:t xml:space="preserve">Written and verbal information about the Health and Disability Commissioner (HDC) Code of Health and Disability Services Consumers' Rights, the complaints processes and advocacy service is provided. There is access to interpreting services when required. </w:t>
      </w:r>
    </w:p>
    <w:p w:rsidR="00E419F6" w:rsidRPr="00A4268A" w:rsidRDefault="00B73081">
      <w:pPr>
        <w:spacing w:before="240" w:line="276" w:lineRule="auto"/>
        <w:rPr>
          <w:rFonts w:eastAsia="Calibri"/>
        </w:rPr>
      </w:pPr>
      <w:r w:rsidRPr="00A4268A">
        <w:rPr>
          <w:rFonts w:eastAsia="Calibri"/>
        </w:rPr>
        <w:t xml:space="preserve">Staff receive education about consumer rights. The audit team observed that patients were treated with dignity and respect. Māori patients are supported and the service is addressing Māori disparity. </w:t>
      </w:r>
      <w:r w:rsidRPr="00A4268A">
        <w:rPr>
          <w:rFonts w:eastAsia="Calibri"/>
        </w:rPr>
        <w:lastRenderedPageBreak/>
        <w:t>Managers and leaders within the organisation encourage u</w:t>
      </w:r>
      <w:r w:rsidRPr="00A4268A">
        <w:rPr>
          <w:rFonts w:eastAsia="Calibri"/>
        </w:rPr>
        <w:t>se of best and evidence based practice and the organisation wide quality programme supports improvements in service delivery.</w:t>
      </w:r>
    </w:p>
    <w:p w:rsidR="00E419F6" w:rsidRPr="00A4268A" w:rsidRDefault="00B73081">
      <w:pPr>
        <w:spacing w:before="240" w:line="276" w:lineRule="auto"/>
        <w:rPr>
          <w:rFonts w:eastAsia="Calibri"/>
        </w:rPr>
      </w:pPr>
      <w:r w:rsidRPr="00A4268A">
        <w:rPr>
          <w:rFonts w:eastAsia="Calibri"/>
        </w:rPr>
        <w:t xml:space="preserve">Consent is documented and patients confirmed that they are kept informed. </w:t>
      </w:r>
    </w:p>
    <w:bookmarkEnd w:id="13"/>
    <w:p w:rsidR="00E419F6" w:rsidRPr="00A4268A" w:rsidRDefault="00E419F6">
      <w:pPr>
        <w:spacing w:before="240" w:line="276" w:lineRule="auto"/>
        <w:rPr>
          <w:rFonts w:eastAsia="Calibri"/>
        </w:rPr>
      </w:pPr>
    </w:p>
    <w:p w:rsidR="00460D43" w:rsidRDefault="00B73081" w:rsidP="000E6E02">
      <w:pPr>
        <w:pStyle w:val="Heading2"/>
        <w:spacing w:before="0"/>
        <w:rPr>
          <w:rFonts w:cs="Arial"/>
        </w:rPr>
      </w:pPr>
      <w:r>
        <w:rPr>
          <w:rFonts w:cs="Arial"/>
        </w:rPr>
        <w:t>Organisational management</w:t>
      </w:r>
    </w:p>
    <w:p w:rsidR="00460D43" w:rsidRDefault="00B73081">
      <w:pPr>
        <w:spacing w:before="240" w:line="276" w:lineRule="auto"/>
        <w:rPr>
          <w:rFonts w:eastAsia="Calibri"/>
        </w:rPr>
      </w:pPr>
      <w:bookmarkStart w:id="14" w:name="OrganisationalManagement"/>
      <w:r w:rsidRPr="00A4268A">
        <w:rPr>
          <w:rFonts w:eastAsia="Calibri"/>
        </w:rPr>
        <w:t>The NDHB and executive have identified</w:t>
      </w:r>
      <w:r w:rsidRPr="00A4268A">
        <w:rPr>
          <w:rFonts w:eastAsia="Calibri"/>
        </w:rPr>
        <w:t xml:space="preserve"> a clear direction for the organisation to follow and have implemented strategies that are supported by data to assist decision making and implementation of services. The leadership support ongoing quality initiatives to improve the health outcomes of the </w:t>
      </w:r>
      <w:r w:rsidRPr="00A4268A">
        <w:rPr>
          <w:rFonts w:eastAsia="Calibri"/>
        </w:rPr>
        <w:t xml:space="preserve">community. The clinical governance committee provides the leadership for </w:t>
      </w:r>
      <w:r w:rsidRPr="00A4268A">
        <w:rPr>
          <w:rFonts w:eastAsia="Calibri"/>
        </w:rPr>
        <w:lastRenderedPageBreak/>
        <w:t>quality and safety across the clinical services. Risks are reviewed at Board level and mitigation strategies are monitored. Significant incidents are investigated using a root cause a</w:t>
      </w:r>
      <w:r w:rsidRPr="00A4268A">
        <w:rPr>
          <w:rFonts w:eastAsia="Calibri"/>
        </w:rPr>
        <w:t>nalysis methodology and open disclosure to patients and their families is practiced. Human resource policies and processes are aligned with good employment practice and legislation. Ongoing learning and development opportunities are available for staff. Th</w:t>
      </w:r>
      <w:r w:rsidRPr="00A4268A">
        <w:rPr>
          <w:rFonts w:eastAsia="Calibri"/>
        </w:rPr>
        <w:t xml:space="preserve">e organisation uses systems to predict and manage safe staffing levels. Clinical information is available both electronically and in paper form. </w:t>
      </w:r>
    </w:p>
    <w:bookmarkEnd w:id="14"/>
    <w:p w:rsidR="00E419F6" w:rsidRPr="00A4268A" w:rsidRDefault="00E419F6">
      <w:pPr>
        <w:spacing w:before="240" w:line="276" w:lineRule="auto"/>
        <w:rPr>
          <w:rFonts w:eastAsia="Calibri"/>
        </w:rPr>
      </w:pPr>
    </w:p>
    <w:p w:rsidR="00460D43" w:rsidRDefault="00B73081" w:rsidP="000E6E02">
      <w:pPr>
        <w:pStyle w:val="Heading2"/>
        <w:spacing w:before="0"/>
        <w:rPr>
          <w:rFonts w:cs="Arial"/>
        </w:rPr>
      </w:pPr>
      <w:r>
        <w:rPr>
          <w:rFonts w:cs="Arial"/>
        </w:rPr>
        <w:t>Continuum of service delivery</w:t>
      </w:r>
    </w:p>
    <w:p w:rsidR="00E536CC" w:rsidRPr="005E14A4" w:rsidRDefault="00B73081" w:rsidP="00621629">
      <w:pPr>
        <w:spacing w:before="240" w:line="276" w:lineRule="auto"/>
        <w:rPr>
          <w:rFonts w:eastAsia="Calibri"/>
        </w:rPr>
      </w:pPr>
      <w:bookmarkStart w:id="15" w:name="ContinuumOfServiceDelivery"/>
      <w:r w:rsidRPr="00A4268A">
        <w:rPr>
          <w:rFonts w:eastAsia="Calibri"/>
        </w:rPr>
        <w:t>Patient tracers were completed in nine services; two surgical; two medical; two maternity; one mental health; one residential disability (psychiatric) and one paediatric tracer.</w:t>
      </w:r>
    </w:p>
    <w:p w:rsidR="00E419F6" w:rsidRPr="00A4268A" w:rsidRDefault="00B73081" w:rsidP="00621629">
      <w:pPr>
        <w:spacing w:before="240" w:line="276" w:lineRule="auto"/>
        <w:rPr>
          <w:rFonts w:eastAsia="Calibri"/>
        </w:rPr>
      </w:pPr>
      <w:r w:rsidRPr="00A4268A">
        <w:rPr>
          <w:rFonts w:eastAsia="Calibri"/>
        </w:rPr>
        <w:t>Review of the tracer patients’ journeys a</w:t>
      </w:r>
      <w:r w:rsidRPr="00A4268A">
        <w:rPr>
          <w:rFonts w:eastAsia="Calibri"/>
        </w:rPr>
        <w:t>nd additional sampling of patients’ files showed evidence of continuity of care. The multidisciplinary team involvement is recorded in the assessments, care planning and evaluation of care provided. There is access to medical staff 24 hours a day, seven da</w:t>
      </w:r>
      <w:r w:rsidRPr="00A4268A">
        <w:rPr>
          <w:rFonts w:eastAsia="Calibri"/>
        </w:rPr>
        <w:t>ys a week. The handovers to staff occur at each change of shift and the handovers observed demonstrated appropriate sharing of information between staff. Patients and family input into care planning and service delivery was observed and the patients confir</w:t>
      </w:r>
      <w:r w:rsidRPr="00A4268A">
        <w:rPr>
          <w:rFonts w:eastAsia="Calibri"/>
        </w:rPr>
        <w:t>med their participation.</w:t>
      </w:r>
    </w:p>
    <w:p w:rsidR="00E419F6" w:rsidRPr="00A4268A" w:rsidRDefault="00B73081" w:rsidP="00621629">
      <w:pPr>
        <w:spacing w:before="240" w:line="276" w:lineRule="auto"/>
        <w:rPr>
          <w:rFonts w:eastAsia="Calibri"/>
        </w:rPr>
      </w:pPr>
      <w:r w:rsidRPr="00A4268A">
        <w:rPr>
          <w:rFonts w:eastAsia="Calibri"/>
        </w:rPr>
        <w:lastRenderedPageBreak/>
        <w:t>The computerised, visual boards in each clinical service provide up to date ward status, noting patients for discharge and pending referrals to other services across the organisation. Transfers between services follow protocols and</w:t>
      </w:r>
      <w:r w:rsidRPr="00A4268A">
        <w:rPr>
          <w:rFonts w:eastAsia="Calibri"/>
        </w:rPr>
        <w:t xml:space="preserve"> standardised communication tools are in use across the services. </w:t>
      </w:r>
    </w:p>
    <w:p w:rsidR="00E419F6" w:rsidRPr="00A4268A" w:rsidRDefault="00B73081" w:rsidP="00621629">
      <w:pPr>
        <w:spacing w:before="240" w:line="276" w:lineRule="auto"/>
        <w:rPr>
          <w:rFonts w:eastAsia="Calibri"/>
        </w:rPr>
      </w:pPr>
      <w:r w:rsidRPr="00A4268A">
        <w:rPr>
          <w:rFonts w:eastAsia="Calibri"/>
        </w:rPr>
        <w:t xml:space="preserve">The NDHB medicine management policy meets legislative requirements. The national medication chart is used, with the exception of the intravenous part of the medication chart. </w:t>
      </w:r>
    </w:p>
    <w:p w:rsidR="00E419F6" w:rsidRPr="00A4268A" w:rsidRDefault="00B73081" w:rsidP="00621629">
      <w:pPr>
        <w:spacing w:before="240" w:line="276" w:lineRule="auto"/>
        <w:rPr>
          <w:rFonts w:eastAsia="Calibri"/>
        </w:rPr>
      </w:pPr>
      <w:r w:rsidRPr="00A4268A">
        <w:rPr>
          <w:rFonts w:eastAsia="Calibri"/>
        </w:rPr>
        <w:t>The medicatio</w:t>
      </w:r>
      <w:r w:rsidRPr="00A4268A">
        <w:rPr>
          <w:rFonts w:eastAsia="Calibri"/>
        </w:rPr>
        <w:t>n system tracer focused on the safe use and management of opioids. The multidisciplinary team has introduced a number of alerts and processes to alert staff of the patient’s use of opioids. The clinical files of patients receiving pain management were revi</w:t>
      </w:r>
      <w:r w:rsidRPr="00A4268A">
        <w:rPr>
          <w:rFonts w:eastAsia="Calibri"/>
        </w:rPr>
        <w:t xml:space="preserve">ewed and demonstrated that the processes around the new </w:t>
      </w:r>
      <w:r w:rsidRPr="00A4268A">
        <w:rPr>
          <w:rFonts w:eastAsia="Calibri"/>
        </w:rPr>
        <w:lastRenderedPageBreak/>
        <w:t xml:space="preserve">initiatives in pain management were followed. </w:t>
      </w:r>
    </w:p>
    <w:p w:rsidR="00E419F6" w:rsidRPr="00A4268A" w:rsidRDefault="00B73081" w:rsidP="00621629">
      <w:pPr>
        <w:spacing w:before="240" w:line="276" w:lineRule="auto"/>
        <w:rPr>
          <w:rFonts w:eastAsia="Calibri"/>
        </w:rPr>
      </w:pPr>
      <w:r w:rsidRPr="00A4268A">
        <w:rPr>
          <w:rFonts w:eastAsia="Calibri"/>
        </w:rPr>
        <w:t>The food services are managed by a contracted service provider with dietitian input into menus and special diets. The patients involved in the tracers an</w:t>
      </w:r>
      <w:r w:rsidRPr="00A4268A">
        <w:rPr>
          <w:rFonts w:eastAsia="Calibri"/>
        </w:rPr>
        <w:t>d others interviewed were positive about the food services. All aspects of food service comply with legislation and guidelines.</w:t>
      </w:r>
    </w:p>
    <w:bookmarkEnd w:id="15"/>
    <w:p w:rsidR="00E419F6" w:rsidRPr="00A4268A" w:rsidRDefault="00E419F6" w:rsidP="00621629">
      <w:pPr>
        <w:spacing w:before="240" w:line="276" w:lineRule="auto"/>
        <w:rPr>
          <w:rFonts w:eastAsia="Calibri"/>
        </w:rPr>
      </w:pPr>
    </w:p>
    <w:p w:rsidR="00460D43" w:rsidRDefault="00B73081" w:rsidP="000E6E02">
      <w:pPr>
        <w:pStyle w:val="Heading2"/>
        <w:spacing w:before="0"/>
        <w:rPr>
          <w:rFonts w:cs="Arial"/>
        </w:rPr>
      </w:pPr>
      <w:r>
        <w:rPr>
          <w:rFonts w:cs="Arial"/>
        </w:rPr>
        <w:t>Safe and appropriate environment</w:t>
      </w:r>
    </w:p>
    <w:p w:rsidR="00460D43" w:rsidRDefault="00B73081">
      <w:pPr>
        <w:spacing w:before="240" w:line="276" w:lineRule="auto"/>
        <w:rPr>
          <w:rFonts w:eastAsia="Calibri"/>
        </w:rPr>
      </w:pPr>
      <w:bookmarkStart w:id="16" w:name="SafeAndAppropriateEnvironment"/>
      <w:r w:rsidRPr="00A4268A">
        <w:rPr>
          <w:rFonts w:eastAsia="Calibri"/>
        </w:rPr>
        <w:t>The environment in all the inpatient facilities is safe and all buildings have a current warrant of fitness. A preventative maintenance programme maintains building, plant and equipment. Waste and</w:t>
      </w:r>
      <w:r w:rsidRPr="00A4268A">
        <w:rPr>
          <w:rFonts w:eastAsia="Calibri"/>
        </w:rPr>
        <w:t xml:space="preserve"> haz</w:t>
      </w:r>
      <w:r w:rsidRPr="00A4268A">
        <w:rPr>
          <w:rFonts w:eastAsia="Calibri"/>
        </w:rPr>
        <w:lastRenderedPageBreak/>
        <w:t xml:space="preserve">ardous substances are managed appropriately with staff trained and provided with protective clothing and equipment. The organisation has developed comprehensive plans to enable it to respond to a range of emergency situations both within the hospitals </w:t>
      </w:r>
      <w:r w:rsidRPr="00A4268A">
        <w:rPr>
          <w:rFonts w:eastAsia="Calibri"/>
        </w:rPr>
        <w:t>and in liaison with civil defence and other agencies. Plans are tested using scenarios and staff are trained in fire safety and to manage emergency responses. There are business continuity plans which ensure key services can continue should there be electr</w:t>
      </w:r>
      <w:r w:rsidRPr="00A4268A">
        <w:rPr>
          <w:rFonts w:eastAsia="Calibri"/>
        </w:rPr>
        <w:t>icity or water outages. All areas visited by the auditors were clean and cleaning services are monitored. Laundry services are conducted in accordance with policies and procedures.</w:t>
      </w:r>
    </w:p>
    <w:bookmarkEnd w:id="16"/>
    <w:p w:rsidR="00E419F6" w:rsidRPr="00A4268A" w:rsidRDefault="00E419F6">
      <w:pPr>
        <w:spacing w:before="240" w:line="276" w:lineRule="auto"/>
        <w:rPr>
          <w:rFonts w:eastAsia="Calibri"/>
        </w:rPr>
      </w:pPr>
    </w:p>
    <w:p w:rsidR="00460D43" w:rsidRDefault="00B73081" w:rsidP="000E6E02">
      <w:pPr>
        <w:pStyle w:val="Heading2"/>
        <w:spacing w:before="0"/>
        <w:rPr>
          <w:rFonts w:cs="Arial"/>
        </w:rPr>
      </w:pPr>
      <w:r>
        <w:rPr>
          <w:rFonts w:cs="Arial"/>
        </w:rPr>
        <w:lastRenderedPageBreak/>
        <w:t>Restraint minimisation and safe practice</w:t>
      </w:r>
    </w:p>
    <w:p w:rsidR="00460D43" w:rsidRDefault="00B73081">
      <w:pPr>
        <w:spacing w:before="240" w:line="276" w:lineRule="auto"/>
        <w:rPr>
          <w:rFonts w:eastAsia="Calibri"/>
        </w:rPr>
      </w:pPr>
      <w:bookmarkStart w:id="17" w:name="RestraintMinimisationAndSafePractice"/>
      <w:r w:rsidRPr="00A4268A">
        <w:rPr>
          <w:rFonts w:eastAsia="Calibri"/>
        </w:rPr>
        <w:t xml:space="preserve">Northland District Health Board has systems </w:t>
      </w:r>
      <w:r w:rsidRPr="00A4268A">
        <w:rPr>
          <w:rFonts w:eastAsia="Calibri"/>
        </w:rPr>
        <w:t>and processes in place to ensure restraint minimisation. Management of restraint is addressed through staff training with a focus on de-escalation and non-violent interventions.</w:t>
      </w:r>
    </w:p>
    <w:p w:rsidR="00E419F6" w:rsidRPr="00A4268A" w:rsidRDefault="00B73081">
      <w:pPr>
        <w:spacing w:before="240" w:line="276" w:lineRule="auto"/>
        <w:rPr>
          <w:rFonts w:eastAsia="Calibri"/>
        </w:rPr>
      </w:pPr>
      <w:r w:rsidRPr="00A4268A">
        <w:rPr>
          <w:rFonts w:eastAsia="Calibri"/>
        </w:rPr>
        <w:t>Reporting and monitoring of restraint occurs through an electronic incident re</w:t>
      </w:r>
      <w:r w:rsidRPr="00A4268A">
        <w:rPr>
          <w:rFonts w:eastAsia="Calibri"/>
        </w:rPr>
        <w:t>porting system, which includes the restraint register. The restraint register records detailed accounts of restraint management. Restraint data indicates restraint as the last options for management of restraint needs and that use of restraint has decrease</w:t>
      </w:r>
      <w:r w:rsidRPr="00A4268A">
        <w:rPr>
          <w:rFonts w:eastAsia="Calibri"/>
        </w:rPr>
        <w:t xml:space="preserve">d over the organisation. Seclusion is used in the mental health services and </w:t>
      </w:r>
      <w:r w:rsidRPr="00A4268A">
        <w:rPr>
          <w:rFonts w:eastAsia="Calibri"/>
        </w:rPr>
        <w:lastRenderedPageBreak/>
        <w:t>use is monitored. Seclusion use continues to decrease.</w:t>
      </w:r>
    </w:p>
    <w:bookmarkEnd w:id="17"/>
    <w:p w:rsidR="00E419F6" w:rsidRPr="00A4268A" w:rsidRDefault="00E419F6">
      <w:pPr>
        <w:spacing w:before="240" w:line="276" w:lineRule="auto"/>
        <w:rPr>
          <w:rFonts w:eastAsia="Calibri"/>
        </w:rPr>
      </w:pPr>
    </w:p>
    <w:p w:rsidR="00460D43" w:rsidRDefault="00B73081" w:rsidP="000E6E02">
      <w:pPr>
        <w:pStyle w:val="Heading2"/>
        <w:spacing w:before="0"/>
        <w:rPr>
          <w:rFonts w:cs="Arial"/>
        </w:rPr>
      </w:pPr>
      <w:r>
        <w:rPr>
          <w:rFonts w:cs="Arial"/>
        </w:rPr>
        <w:t>Infection prevention and control</w:t>
      </w:r>
    </w:p>
    <w:p w:rsidR="00460D43" w:rsidRDefault="00B73081">
      <w:pPr>
        <w:spacing w:before="240" w:line="276" w:lineRule="auto"/>
        <w:rPr>
          <w:rFonts w:eastAsia="Calibri"/>
        </w:rPr>
      </w:pPr>
      <w:bookmarkStart w:id="18" w:name="InfectionPreventionAndControl"/>
      <w:r w:rsidRPr="00A4268A">
        <w:rPr>
          <w:rFonts w:eastAsia="Calibri"/>
        </w:rPr>
        <w:t xml:space="preserve">A system tracer in infection </w:t>
      </w:r>
      <w:r w:rsidRPr="00A4268A">
        <w:rPr>
          <w:rFonts w:eastAsia="Calibri"/>
        </w:rPr>
        <w:t>prevention and control was undertaken with documented evidence infection prevention and control processes are followed across the facilities. A medical microbiologist chairs the established infection prevention and control committee and there is communicat</w:t>
      </w:r>
      <w:r w:rsidRPr="00A4268A">
        <w:rPr>
          <w:rFonts w:eastAsia="Calibri"/>
        </w:rPr>
        <w:t>ion to all areas, including rural facilities. Surveillance activities were reviewed and include audits and surgical site infection surveillance. Antimicrobial stewardship is in place with prescribing in line with best practice.</w:t>
      </w:r>
    </w:p>
    <w:bookmarkEnd w:id="18"/>
    <w:sectPr w:rsidR="00460D43"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3081">
      <w:r>
        <w:separator/>
      </w:r>
    </w:p>
  </w:endnote>
  <w:endnote w:type="continuationSeparator" w:id="0">
    <w:p w:rsidR="00000000" w:rsidRDefault="00B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3081">
    <w:pPr>
      <w:pStyle w:val="Footer"/>
    </w:pPr>
  </w:p>
  <w:p w:rsidR="005A4A55" w:rsidRDefault="00B73081"/>
  <w:p w:rsidR="005A4A55" w:rsidRDefault="00B7308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73081"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 xml:space="preserve">Northland District </w:t>
    </w:r>
    <w:r>
      <w:rPr>
        <w:rFonts w:cs="Arial"/>
        <w:sz w:val="16"/>
        <w:szCs w:val="20"/>
      </w:rPr>
      <w:t>Health Board</w:t>
    </w:r>
    <w:bookmarkEnd w:id="19"/>
    <w:r>
      <w:rPr>
        <w:rFonts w:cs="Arial"/>
        <w:sz w:val="16"/>
        <w:szCs w:val="20"/>
      </w:rPr>
      <w:tab/>
      <w:t xml:space="preserve">Date of Audit: </w:t>
    </w:r>
    <w:bookmarkStart w:id="20" w:name="AuditStartDate1"/>
    <w:r>
      <w:rPr>
        <w:rFonts w:cs="Arial"/>
        <w:sz w:val="16"/>
        <w:szCs w:val="20"/>
      </w:rPr>
      <w:t>20 June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B730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3081">
      <w:r>
        <w:separator/>
      </w:r>
    </w:p>
  </w:footnote>
  <w:footnote w:type="continuationSeparator" w:id="0">
    <w:p w:rsidR="00000000" w:rsidRDefault="00B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3081">
    <w:pPr>
      <w:pStyle w:val="Header"/>
    </w:pPr>
  </w:p>
  <w:p w:rsidR="005A4A55" w:rsidRDefault="00B730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3081">
    <w:pPr>
      <w:pStyle w:val="Header"/>
    </w:pPr>
  </w:p>
  <w:p w:rsidR="005A4A55" w:rsidRDefault="00B730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B0CC4C4">
      <w:start w:val="1"/>
      <w:numFmt w:val="decimal"/>
      <w:lvlText w:val="%1."/>
      <w:lvlJc w:val="left"/>
      <w:pPr>
        <w:ind w:left="360" w:hanging="360"/>
      </w:pPr>
    </w:lvl>
    <w:lvl w:ilvl="1" w:tplc="37808956" w:tentative="1">
      <w:start w:val="1"/>
      <w:numFmt w:val="lowerLetter"/>
      <w:lvlText w:val="%2."/>
      <w:lvlJc w:val="left"/>
      <w:pPr>
        <w:ind w:left="1080" w:hanging="360"/>
      </w:pPr>
    </w:lvl>
    <w:lvl w:ilvl="2" w:tplc="2BD4D1F2" w:tentative="1">
      <w:start w:val="1"/>
      <w:numFmt w:val="lowerRoman"/>
      <w:lvlText w:val="%3."/>
      <w:lvlJc w:val="right"/>
      <w:pPr>
        <w:ind w:left="1800" w:hanging="180"/>
      </w:pPr>
    </w:lvl>
    <w:lvl w:ilvl="3" w:tplc="C1F2088A" w:tentative="1">
      <w:start w:val="1"/>
      <w:numFmt w:val="decimal"/>
      <w:lvlText w:val="%4."/>
      <w:lvlJc w:val="left"/>
      <w:pPr>
        <w:ind w:left="2520" w:hanging="360"/>
      </w:pPr>
    </w:lvl>
    <w:lvl w:ilvl="4" w:tplc="DB8AE2E4" w:tentative="1">
      <w:start w:val="1"/>
      <w:numFmt w:val="lowerLetter"/>
      <w:lvlText w:val="%5."/>
      <w:lvlJc w:val="left"/>
      <w:pPr>
        <w:ind w:left="3240" w:hanging="360"/>
      </w:pPr>
    </w:lvl>
    <w:lvl w:ilvl="5" w:tplc="F7AE64B2" w:tentative="1">
      <w:start w:val="1"/>
      <w:numFmt w:val="lowerRoman"/>
      <w:lvlText w:val="%6."/>
      <w:lvlJc w:val="right"/>
      <w:pPr>
        <w:ind w:left="3960" w:hanging="180"/>
      </w:pPr>
    </w:lvl>
    <w:lvl w:ilvl="6" w:tplc="96CA3A9A" w:tentative="1">
      <w:start w:val="1"/>
      <w:numFmt w:val="decimal"/>
      <w:lvlText w:val="%7."/>
      <w:lvlJc w:val="left"/>
      <w:pPr>
        <w:ind w:left="4680" w:hanging="360"/>
      </w:pPr>
    </w:lvl>
    <w:lvl w:ilvl="7" w:tplc="7DC43C50" w:tentative="1">
      <w:start w:val="1"/>
      <w:numFmt w:val="lowerLetter"/>
      <w:lvlText w:val="%8."/>
      <w:lvlJc w:val="left"/>
      <w:pPr>
        <w:ind w:left="5400" w:hanging="360"/>
      </w:pPr>
    </w:lvl>
    <w:lvl w:ilvl="8" w:tplc="516AA544" w:tentative="1">
      <w:start w:val="1"/>
      <w:numFmt w:val="lowerRoman"/>
      <w:lvlText w:val="%9."/>
      <w:lvlJc w:val="right"/>
      <w:pPr>
        <w:ind w:left="6120" w:hanging="180"/>
      </w:pPr>
    </w:lvl>
  </w:abstractNum>
  <w:abstractNum w:abstractNumId="1">
    <w:nsid w:val="70640EF3"/>
    <w:multiLevelType w:val="hybridMultilevel"/>
    <w:tmpl w:val="5E381990"/>
    <w:lvl w:ilvl="0" w:tplc="BC6AD4FE">
      <w:start w:val="1"/>
      <w:numFmt w:val="bullet"/>
      <w:lvlText w:val=""/>
      <w:lvlJc w:val="left"/>
      <w:pPr>
        <w:ind w:left="720" w:hanging="360"/>
      </w:pPr>
      <w:rPr>
        <w:rFonts w:ascii="Symbol" w:hAnsi="Symbol" w:hint="default"/>
      </w:rPr>
    </w:lvl>
    <w:lvl w:ilvl="1" w:tplc="C3F07C02" w:tentative="1">
      <w:start w:val="1"/>
      <w:numFmt w:val="bullet"/>
      <w:lvlText w:val="o"/>
      <w:lvlJc w:val="left"/>
      <w:pPr>
        <w:ind w:left="1440" w:hanging="360"/>
      </w:pPr>
      <w:rPr>
        <w:rFonts w:ascii="Courier New" w:hAnsi="Courier New" w:cs="Courier New" w:hint="default"/>
      </w:rPr>
    </w:lvl>
    <w:lvl w:ilvl="2" w:tplc="C330975A" w:tentative="1">
      <w:start w:val="1"/>
      <w:numFmt w:val="bullet"/>
      <w:lvlText w:val=""/>
      <w:lvlJc w:val="left"/>
      <w:pPr>
        <w:ind w:left="2160" w:hanging="360"/>
      </w:pPr>
      <w:rPr>
        <w:rFonts w:ascii="Wingdings" w:hAnsi="Wingdings" w:hint="default"/>
      </w:rPr>
    </w:lvl>
    <w:lvl w:ilvl="3" w:tplc="DA128698" w:tentative="1">
      <w:start w:val="1"/>
      <w:numFmt w:val="bullet"/>
      <w:lvlText w:val=""/>
      <w:lvlJc w:val="left"/>
      <w:pPr>
        <w:ind w:left="2880" w:hanging="360"/>
      </w:pPr>
      <w:rPr>
        <w:rFonts w:ascii="Symbol" w:hAnsi="Symbol" w:hint="default"/>
      </w:rPr>
    </w:lvl>
    <w:lvl w:ilvl="4" w:tplc="FB42B36C" w:tentative="1">
      <w:start w:val="1"/>
      <w:numFmt w:val="bullet"/>
      <w:lvlText w:val="o"/>
      <w:lvlJc w:val="left"/>
      <w:pPr>
        <w:ind w:left="3600" w:hanging="360"/>
      </w:pPr>
      <w:rPr>
        <w:rFonts w:ascii="Courier New" w:hAnsi="Courier New" w:cs="Courier New" w:hint="default"/>
      </w:rPr>
    </w:lvl>
    <w:lvl w:ilvl="5" w:tplc="D2DCD2D6" w:tentative="1">
      <w:start w:val="1"/>
      <w:numFmt w:val="bullet"/>
      <w:lvlText w:val=""/>
      <w:lvlJc w:val="left"/>
      <w:pPr>
        <w:ind w:left="4320" w:hanging="360"/>
      </w:pPr>
      <w:rPr>
        <w:rFonts w:ascii="Wingdings" w:hAnsi="Wingdings" w:hint="default"/>
      </w:rPr>
    </w:lvl>
    <w:lvl w:ilvl="6" w:tplc="F820B0A6" w:tentative="1">
      <w:start w:val="1"/>
      <w:numFmt w:val="bullet"/>
      <w:lvlText w:val=""/>
      <w:lvlJc w:val="left"/>
      <w:pPr>
        <w:ind w:left="5040" w:hanging="360"/>
      </w:pPr>
      <w:rPr>
        <w:rFonts w:ascii="Symbol" w:hAnsi="Symbol" w:hint="default"/>
      </w:rPr>
    </w:lvl>
    <w:lvl w:ilvl="7" w:tplc="654EE9F0" w:tentative="1">
      <w:start w:val="1"/>
      <w:numFmt w:val="bullet"/>
      <w:lvlText w:val="o"/>
      <w:lvlJc w:val="left"/>
      <w:pPr>
        <w:ind w:left="5760" w:hanging="360"/>
      </w:pPr>
      <w:rPr>
        <w:rFonts w:ascii="Courier New" w:hAnsi="Courier New" w:cs="Courier New" w:hint="default"/>
      </w:rPr>
    </w:lvl>
    <w:lvl w:ilvl="8" w:tplc="4C688C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F6"/>
    <w:rsid w:val="00391B5A"/>
    <w:rsid w:val="00B73081"/>
    <w:rsid w:val="00E41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B1025-F20B-4E37-B76B-6694CEA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A4AB-5BF2-46A9-A4ED-02E3C37E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2016-08-24T22:09:00Z</dcterms:created>
  <dcterms:modified xsi:type="dcterms:W3CDTF">2016-08-24T23:50:00Z</dcterms:modified>
</cp:coreProperties>
</file>