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Johnsonvale Home Trust Board - Johnsonvale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Johnsonvale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Johnsonvale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2016</w:t>
      </w:r>
      <w:bookmarkEnd w:id="7"/>
      <w:r w:rsidRPr="009418D4">
        <w:rPr>
          <w:rFonts w:cs="Arial"/>
        </w:rPr>
        <w:tab/>
        <w:t xml:space="preserve">End date: </w:t>
      </w:r>
      <w:bookmarkStart w:id="8" w:name="AuditEndDate"/>
      <w:r w:rsidR="00A4268A">
        <w:rPr>
          <w:rFonts w:cs="Arial"/>
        </w:rPr>
        <w:t>21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Addition of medical to the hospital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Johnsonvale Home is governed by a board of trustees.  The service provides rest home and hospital level of care for up to 65 residents.  On the day of audit, there were 45 residents.  The clinical operations manager continues to manage the service, with support from a quality development manager.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contract with the district health board.  The audit process included a review of policies and procedures, the review of residents and staff files, observations and interviews with residents, staff and management.  Systems, processes, policies and procedures are structured to provide appropriate quality care for people who use the service. </w:t>
      </w:r>
    </w:p>
    <w:p w:rsidRPr="00A4268A">
      <w:pPr>
        <w:spacing w:before="240" w:line="276" w:lineRule="auto"/>
        <w:rPr>
          <w:rFonts w:eastAsia="Calibri"/>
        </w:rPr>
      </w:pPr>
      <w:r w:rsidRPr="00A4268A">
        <w:rPr>
          <w:rFonts w:eastAsia="Calibri"/>
        </w:rPr>
        <w:t xml:space="preserve">As part of this audit, the service has also been verified as suitable to provide medical services under their hospital certification. </w:t>
      </w:r>
    </w:p>
    <w:p w:rsidRPr="00A4268A">
      <w:pPr>
        <w:spacing w:before="240" w:line="276" w:lineRule="auto"/>
        <w:rPr>
          <w:rFonts w:eastAsia="Calibri"/>
        </w:rPr>
      </w:pPr>
      <w:r w:rsidRPr="00A4268A">
        <w:rPr>
          <w:rFonts w:eastAsia="Calibri"/>
        </w:rPr>
        <w:t>Johnsonvale Home is commended for continual improvement ratings relating to staff training, and infection control surveillance.</w:t>
      </w:r>
    </w:p>
    <w:p w:rsidRPr="00A4268A">
      <w:pPr>
        <w:spacing w:before="240" w:line="276" w:lineRule="auto"/>
        <w:rPr>
          <w:rFonts w:eastAsia="Calibri"/>
        </w:rPr>
      </w:pPr>
      <w:r w:rsidRPr="00A4268A">
        <w:rPr>
          <w:rFonts w:eastAsia="Calibri"/>
        </w:rPr>
        <w:t>One improvement has been identified around care interventions to prevent pressure injuries.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are documented.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 comprehensive quality and risk management system in place is implemented and monitored.  Key components of the quality management system link to relevant facility meetings.  The service is active in analysing and corrective actions are identified and implemented.  Health and safety policies, systems and processes are implemented to manage risk.  Incidents and accidents are reported and appropriately managed.  A comprehensive orientation programme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develops care plans based on assessments and reviews residents' needs with the resident and/or family/whānau input.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residents.  The programme meets the individual recreational, physical, cultural and cognitive abilities and preferences for each consumer group.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senior caregivers responsible for administration of medicines complete education and medication competencies.  The medicine charts reviewed meet prescribing requirements and were reviewed at least three monthly.</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in place for the management of waste and hazardous substances,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There are adequate communal facilities for showering and toileting.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and aligns with the standards.  A register is maintained with all residents with restraint or enablers.  There were no residents requiring restraints and no residents using enablers.  The service reviews restraint as part of the quality management and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as part of the ongoing in-service education programme.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59"/>
        <w:gridCol w:w="1280"/>
        <w:gridCol w:w="88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posters are displayed in the foyer and round the building.  Discussions with staff confirmed their familiarity with the Health and Disability Commissioner (HDC) Code of Health and Disability Services Consumers’ Rights (the Code).  Residents interviewed (seven hospital and three rest home) and relatives interviewed (one rest home and three hospital)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seven resident files reviewed (three rest home and four hospital).  Advised by staff, that family involvement occurs with the consent of the resident.  Residents interviewed confirmed that information was provided to enable informed choices and that they were able to decline or withdraw their consent.  Resident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have been provided with information on admission.  Complaint forms are available at the entrance of the service.  Staff are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folder has been maintained.  The service records and follows up all complaints, including verbal complaints.  Six complaints have been recorded for 2016 and all show timely follow-up with the complainant.  Systems and processes continue to be in place to ensure that any complaint received is managed and resolved appropriately.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DHB/query/complaint was reviewed regarding registered nurse training.  The requested actions from the DHB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Resident meetings and a resident and family survey provide the opportunity to raise concerns.  Advocacy and code of rights information is included in the information pack, the resident and family newsletter and is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part of employment agreements signed by staff at commencement of employment.  Church services are held and resident files include cultural and spiritual values.  Contact details of spiritual/religious advisors are available to staff.  Residents and relatives interviewed reported that residents are able to choose to engage in activities and access community resources.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heath plan in place.  Local iwi and Māori provider groups have reviewed the plan.  Discussions with staff confirmed their understanding of the different cultural needs of residents and their whānau.  Currently no residents identify as Māori.  The service has established links with local Māori and staff confirmed they are aware of the need to respond appropriately to maintain cultural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The ‘In the Loop’ quarterly newsletter includes information about different cultures each month (the Philippines for January and Samoa for May as an example).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privacy and boundaries.  Registered nursing staff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programme has been designed to monitor contractual and standards compliance, and the quality of service delivery.  Staffing policies include pre-employment, and the requirement to attend orientation and ongoing in-service training.  The quality development manager (RN) is responsible for coordinating the internal audit programme.  A variety of staff meetings and residents’ meetings are conducted.  The clinical operations manager (RN) is responsible for overall clinical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clinical operations manager.  Care staff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are informed of changes in health status and incidents/accidents.  Fourteen resident related incident forms for June documented that family had been informed of the incident.  Seven care plans documented both resident and family involvement in care.  Residents and family members also stated they were welcomed on entry and given time and explanation about services and procedures.  Resident/relative meetings occur three times a year and the clinical operations manager has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has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board of trustees governs Johnsonvale Home.  The service provides rest home and hospital level of care for up to 65 residents.  This is comprised of 25 rest home beds, 25 hospital beds and 15 dual-purpose beds.  On the day of audit, there were 45 residents, and all were under the ARC aged care contract.  There were 18 rest home residents, and 27 hospital residents. There were no rest home and two hospital residents in the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be managed by a clinical operation manager (COM) who is a registered nurse, and has been in the role for three and a half years.  A quality development manager (RN) who has been in the role for three years and is experienced in aged care supports her.  There is a current business plan, a risk and quality improvement plan, and specific quality plans to improve services.  All plans document regular review and annual updates.  The board has approved the business plan and quality goals.  The COM provides a written report to the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development manager provides cover during a temporary absence of the clinical operations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Johnsonvale Home has documented business, risk and quality plans in place.  A Christian based mission and philosophy are integrated into care.  The clinical operation manager and quality development manager provide a monthly report to the board.  The board and the management team meet quarterly.  Specific quality plans are in place for 2016 and include reducing the incidence of UTIs, improvements to recreation services, and ACC compliance with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development manager has monitored progress with the quality and risk management programme.  Progress is reported to staff through the monthly staff/quality meeting, and various facility meetings.  This includes complaints, accidents, incidents, internal audits, infection control and restraint use (if used).  Meeting minutes have been maintained and are available to staff in the staff room.  Minutes for all meetings have included actions to achieve compliance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Specific quality improvements have been identified and data collected is benchmarked with other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policies/procedures to support service delivery.  Policies and procedures align with the client care plans.  A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are undertaken and collated and results fed back to staff, residents and family at meetings and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health and safety, and risk management programme in place including policies to guide practice.  There is a current hazard register.  The service has completed a self-assessment for accreditation (ACC) and has achieved tertiary status.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use of sensor mats, electric beds, ultra-low beds, hip protectors and physiotherapy assessments post falls.  The service has assigned a staff member on duty to supervise high-risk residents in the lounge to reduce the number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development manager reviews and analyses all incident forms each month, and an action plan is documented and communicated to staff.  Action plans include individual plans (such as for frequent fallers) and service plans (such as new instructions for safe hoist use).  Discussions with the service confirmed that there is an awareness of the requirement to notify relevant authorities in relation to essential notifications.  A sample of resident related incident reports for June 2016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other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the safe and appropriate recruitment of staff.  Eight staff files reviewed (three RNs, four caregivers, and one diversional therapist)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turnover was reported as low, with some staff having been employed in excess of 25 years.  The service has a comprehensive orientation programme that provides new staff with relevant information for safe work practice.  Staff interviewed were able to describe the orientation process and stated that they believed that new staff were adequately orientated to the service.  Annual appraisals are conducted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completed in-service calendar for 2015 exceeded eight hours annually and the 2016 calendar maintains a high level of training for all staff.  Caregivers have either completed the national certificate in care of the elderly, or they have completed or commenced an aged care education programme.  There are specific training sessions and related competencies for registered nurses including pressure injury prevention and care, diabetes management, wound care and communication.  Registered nurses can also attend external training including conferences, seminars and education sessions with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Johnsonvale home has a staffing rationale policy and a roster in place, which provides sufficient staffing cover for the provision of care and service to residents.  The roster has sufficient staff rostered on to provide safe care to residents.  There is at least one registered nurse on duty at all times.  The full time clinical operations manager is also a registered nurse.  Caregivers, residents, and family interviewed advised that sufficient staff are rostered on for each shift.  All staff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Record entries are legible, dated and signed by the relevant staff member.  Individual resident files demonstrate service integration.  Medication charts have been stored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admission.  The service has a comprehensive information folder for residents/families/whānau at entry.  Seven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who administer medications (RNs, enrolled nurses and some senior caregivers) have been assessed for competency on an annual basis.  Education around safe medication administration has been provided.  Staff were observed to be safely administering medications at two rounds.  Standing orders are in use.  Each GP has a standing order in place (one GP has the majority of the residents).  The orders align with current guidelines.  One resident is self-medicating an inhaler (carried by the resident).  The resident has been deemed competent to do so by the GP and RN, and this is reviewed three monthly.  The medication fridge is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All 14 medication charts sampled met legislative prescribing requirements.  The GP has reviewed the medication charts three monthly.  All medications had been administered as prescribed.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Johnsonvale are prepared and cooked on site by a qualified chef and two cooks.  There is a five weekly seasonal menu, which has been reviewed by a dietitian.  Meals are served directly to one adjacent dining room.  Dietary needs are known with individual likes and dislikes accommodated.  Dietary requirements, cultural and religious food preferences are met.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hospital and rest home residents with their meals and drinks.  Resident meetings and surveys, along with direct input from residents, provide resident feedback on the meals and food services generally.  Residents and family members interviewed were very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on each meal.  The chemical supplier checks the dishwasher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Nutrition and safe food management policies define the requirements for all aspects of food safety.  A kitchen cleaning schedule is in place and implemented.  Containers of food were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on admission, including risk assessment tools for falls, pressure injury and continence assessment.  An InterRAI assessment is undertaken within 21 days of admission and six monthly, or earlier due to health changes.  Resident needs and supports are identified through the ongoing assessment process in consultation with significant others.  InterRAI assessments, assessment notes and summary were in place for all resident files sampled.  The long-term care plans in place reflected the outcome of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sampled were resident focused and individualised.  All identified support needs as assessed were included in the care plans for all residents’ files sampled.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and allied health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resident’s file sampled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one abscess, two skin tears and the pressure injuries.  Chronic wounds have been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The care intervention to prevent skin breakdown and monitoring were not always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and an activities officer.  The activity team provides individual and group activities in the rest home and hospital six days a week (increased from five days within the last year).  The monthly programme is an inclusive programme where residents from both units (as appropriate) are invited into the unit where the activity is appropriate or entertainment is being held.  The weekly activity programme is displayed on the main noticeboard and programmes are in each resident’s room.  There is a monthly newsletter for all residents and families, which profiles staff and residents and keeps families and residents informed of all activities and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The activities are physically and mentally stimulating.  Entertainers coming to the home had increased over the last year from once a month to three times per month.  A music therapist comes three monthly.  A sound system has been purchased to enable residents to hear more easily.  Volunteers come to assist with massage, flower arranging, bowls (there is a large bowling table and craft room) and reading to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outings/drives for residents (as appropriate) and involvement in community events.  A range of community groups come to the home.  One-on-one activities are provided for residents who are unable or choose not to be involved in group activities.  Church services are held at the home twice a month.</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plan is completed on admission in consultation with the resident/family (as appropriate).  Activity plans in all files were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the resident meetings.  The service also receives feedback and suggestions for the programme through surveys and one-on-one feedback from residents (as appropriate)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evaluated all initial care plans (sampled) within three weeks of admission.  Long-term care plans have been reviewed at least six monthly or earlier for any health changes.  The GP reviews the residents at least three monthly or earlier if required.  Ongoing nursing evaluations occur as indicated and are documented within the clinical notes and are evident in changes made 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 bottles sighted have correct manufacturer labels.  Chemicals are stored in locked areas and safety datasheets are available.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 June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part-time maintenance person.  The maintenance person ensures maintenance requests are addressed and a preventative maintenance schedule is maintained.  Essential contractors are available 24 hours.  Electrical testing is completed annually.  An external contractor has completed annual calibration and functional checks of medical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monthly.  Rooms are refurbished as they become vacant.  The facility has wide corridors with sufficient space for residents to safely mobilise when using mobility aids.  There is safe access to the outdoor areas, including a sheltered area for residents to smoke.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and RNs interviewed stated they have sufficient equipment to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All bedrooms, with the exception of one room with an ensuite, share the communal use bathrooms/toilets.  Communal facilities have a system that indicates if it is engaged or vacant, and doors that may be locked by the resident if they choose (able to be unlocked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present, all resident rooms are single.  In the resident bedrooms, there is adequate room to manoeuvre mobility aids and transferring equipment such as hoists, safely.  Residents and families are encouraged to personalise their rooms.  This is evident 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lounge and dining areas along with additional smaller lounges and a shared activities room.  Seating and space is arranged to allow both individual and group activities to occur.  The facility is light, odour free and with views out to the grounds.  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cleaning staff.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conducts regular reviews and internal audits of cleaning and laundry services to ensure these are safe and effective.  Where improvements can be made these are implemented.  Current safety material datasheets about each product are located with the chemicals.  The chemicals are stored appropriately in locked cabinets at all times. The chemical mixes are prepared from a wall mounted system, which works effectively.  The chemical provider checks the washing machine and chemical products.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including a hooded barbeque and additional gas rings.  There is a sufficient supply of water and food stored on-site for at least three days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There are six 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Staff document and implement security policies and procedures.  The buildings are secured at night with access after this time via staff on duty.  A security company completes security rounds during the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an environment that is maintained at a safe and comfortable temperature.  The heating in each room can be individually controlled.  Guards are placed on heaters where necessary to protect residents from hot surfaces.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external opening windows, which are designed and installed to promote ventilation and can be secured as needed.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Johnsonvale home has an established infection control (IC) programme.  The infection control programme has been appropriate for the size, complexity and degree of risk associated with the service and has been linked into the incident reporting system. The clinical operations manager is the designated infection control nurse with support from an enrolled nurse and the wider infection control team.  The IC team meets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Johnsonvale home.  The infection control (IC) nurse has maintained her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The infection control nurse, with support from the enrolled nurse, facilitates education.  All infection control training has been documented and a record of attendance has been maintained.  Information was provided to residents and visitors that are appropriate to their needs and this was documented in medical records. The health and safety plan for 2015 and 2016 has a goal around increasing the uptake of staff and residents who are vaccinated against influenza. The service implemented a process of staff and resident education.  Posters were displayed in prominent place for all residents and staff to see.  Staff were provided with best practice articles in the staff room.  The senior team proactively supported and advocated for flu vaccination for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the staff vaccination rate increased from 70% in 2015 to 77.5% in 2016.  Resident vaccination rates have increased  92- 93.8%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infection monitoring policy.  The clinical operation manager is the designated infection control nurse along with an enrolled nurse.  Monthly infection data is collected for all infections based on signs and symptoms of infection.  Surveillance of all infections is entered onto a monthly facility infection summary and staff were informed.  Data has been monitored and evaluated monthly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as evidenced in the restraint policy and in interviews with clinical staff.  A restraint coordinator who is the clinical operations manager, oversees restraint minimisation.  There are no residents with restraint or enablers.  The use of enablers is voluntary, requested by the resident.  Training has been provided in restraint and enabler use, and in the management of behaviours that challenge.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2"/>
        <w:gridCol w:w="1280"/>
        <w:gridCol w:w="3995"/>
        <w:gridCol w:w="5073"/>
        <w:gridCol w:w="17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evidenced they were knowledgeable about the prevention of pressure injuries.  Monitoring occurs for weight, vital signs, blood glucose, pain and challenging behaviour.  However, interventions to prevent skin breakdown were not always in place and monitoring for a resident with a pressure injury was not always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For one hospital level resident, a slide transfer sheet was left in direct contact with the skin.  The sheet had been in place for the major part of the 24-hour period.  This resident has a history of pressure injury and has a high risk of re-occurrence.  Interventions such as a pressure relieving mattress were not in place. ii) One hospital level resident with a pressure injury (tracer) did not have turn charts consistently recorded for monitoring change of position.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timely interventions are provided to reduce risks for the resident; and ii) ensure that monitoring is conducted and recorded as per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1"/>
        <w:gridCol w:w="1280"/>
        <w:gridCol w:w="4041"/>
        <w:gridCol w:w="58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training schedule with very good attendance at training sessions by staff.  There are compulsory study days planned biannually for all caregivers that provide all compulsory education for staff, there are also study days for trained staff.  Policies and procedures are based on evidenced and best practice and communicated to all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evaluated the quality and training process during 2013.   The review identified the current system did not identify service risks, there was a lack of staff involvement in the quality process and this affected the training attendance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Because of this, a new suite of audit tools were developed and implemented onto practice in late 2013.  This was accompanied by a new training schedule (based on a review of training provided at the time and staff feedback). The reviewed audits were to ensure that critical areas of risk were identified.  Other actions included a simplified meeting minute format, and adjustments were made to the process of education session delivery to make it more accessible to staff.  The reviewed training schedule was aligned to the quality policy, audit schedule and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outcome has been achievement of ACC tertiary WSMP, with a continuous improvement awarded around staff engagement.  Attendance at staff training has improved.  Six monthly information, training and supervision audit outcomes have steadily improved from 39% in 2013 to 97% in 2014 and 2015 to 100% in 2016.  Staff interviews were very positive during audit around training and their involvement 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all infections information as part of the monthly infection control surveillance.  An additional log is also kept of residents who are not well, but whose condition is not part of infection statistical data gathering.  This is to ensure that all residents are reviewed by the infection control nurse and other RNs. Monthly reports are provided to facility meetings and the management team.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Urinary tract infections were noted to be above the expected benchmarked rates during 2014.</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 process that included education for staff around infection control, hand washing and resident personal hygiene, and additional IC audits, and follow-up of issues raised.  For residents, the service implemented increased fluid rounds (including ice blocks in the hotter months), and handovers emphasised the importance of fluid intake.</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they noted a drop in resident urinary tract infections from thirty-five during 2014 to nine during 2015 and only three so far during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Johnsonvale Home Trust Board - Johnsonvale Home</w:t>
    </w:r>
    <w:bookmarkEnd w:id="58"/>
    <w:r>
      <w:rPr>
        <w:rFonts w:cs="Arial"/>
        <w:sz w:val="16"/>
        <w:szCs w:val="20"/>
      </w:rPr>
      <w:tab/>
      <w:t xml:space="preserve">Date of Audit: </w:t>
    </w:r>
    <w:bookmarkStart w:id="59" w:name="AuditStartDate1"/>
    <w:r>
      <w:rPr>
        <w:rFonts w:cs="Arial"/>
        <w:sz w:val="16"/>
        <w:szCs w:val="20"/>
      </w:rPr>
      <w:t>20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