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Onewa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Onewa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June 2016</w:t>
      </w:r>
      <w:bookmarkEnd w:id="7"/>
      <w:r w:rsidRPr="009418D4">
        <w:rPr>
          <w:rFonts w:cs="Arial"/>
        </w:rPr>
        <w:tab/>
        <w:t xml:space="preserve">End date: </w:t>
      </w:r>
      <w:bookmarkStart w:id="8" w:name="AuditEndDate"/>
      <w:r w:rsidR="00A4268A">
        <w:rPr>
          <w:rFonts w:cs="Arial"/>
        </w:rPr>
        <w:t>1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Onewa is owned and operated by the CHT Healthcare Trust and cares for up to 70 residents requiring hospital and rest home level care.  On the day of the audit, there were 70 residents.  A unit manager, who is a registered nurse and is well qualified and experienced for the role, oversees the service and is supported by the area manager.  </w:t>
      </w:r>
    </w:p>
    <w:p w:rsidRPr="00A4268A">
      <w:pPr>
        <w:spacing w:before="240" w:line="276" w:lineRule="auto"/>
        <w:rPr>
          <w:rFonts w:eastAsia="Calibri"/>
        </w:rPr>
      </w:pPr>
      <w:r w:rsidRPr="00A4268A">
        <w:rPr>
          <w:rFonts w:eastAsia="Calibri"/>
        </w:rPr>
        <w:t>Residents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not identified any areas requiring improvement. </w:t>
      </w:r>
    </w:p>
    <w:p w:rsidRPr="00A4268A">
      <w:pPr>
        <w:spacing w:before="240" w:line="276" w:lineRule="auto"/>
        <w:rPr>
          <w:rFonts w:eastAsia="Calibri"/>
        </w:rPr>
      </w:pPr>
      <w:r w:rsidRPr="00A4268A">
        <w:rPr>
          <w:rFonts w:eastAsia="Calibri"/>
        </w:rPr>
        <w:t>The service is achieving three continual improvement ratings relating to falls reduction, weight management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Onewa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these generate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Allied health and a team approach are evident in the resident files reviewed.  The general practitioner reviews residents one to three monthly.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administer medications, and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Nutritious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except one resident room is single occupancy and the majority have ensuites while some share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Cleaners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Onewa has restraint minimisation and safe practice policies and procedures in place.  Staff receive training in restraint minimisation and challenging behaviour management.  On the day of audit, there were eight residents with restraint and two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9"/>
        <w:gridCol w:w="1280"/>
        <w:gridCol w:w="97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(three healthcare assistants, two registered nurses (RN), two activities coordinators, one area manager and one unit manager) confirm their familiarity with the Code.  Interviews with nine residents (four rest home and five hospital) and three families (three hospital) confirmed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Nine resident files sampled (four rest home including one respite and five hospital) demonstrated that advanced directives are signed for separately.  There was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nine resident files sampled had a signed admission agreement signed on or before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A complaints form is freely available for residents and relatives.  Information about complaints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computerised complaints register.  Verbal and written complaints are documented.  There were two complaints in 2016 and all complaint documentation was reviewed.  Both complaints had noted investigation, timeframes, corrective actions when required and resolutions were in place if required.  Results are fed back to complainants and discussed in meetings, as relevant.  Discussions with residents confirmed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given to next of kin or enduring power of attorney (EPOA) to read with the resident and discuss.  On entry to the service, the clinical coordinator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three times a month and the chaplain visits most days.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on abuse and neglect and staff have received training.  Staff interviewed were aware of the service zero tolerance to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One resident identified as Māori on the day of the audit.  The resident InterRAI and care plan reflected Māori Tikanga.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as demonstrated in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training on cultural awareness.  The service currently has some Chinese residents, for which staff and family are able to provide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The resident satisfaction survey in September 2015 reflected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CHT Onewa has implemented a number of initiatives that provide examples of good practice.  They include (but are not limited to):</w:t>
            </w:r>
          </w:p>
          <w:p w:rsidR="00EB7645" w:rsidRPr="00BE00C7" w:rsidP="00BE00C7">
            <w:pPr>
              <w:pStyle w:val="OutcomeDescription"/>
              <w:spacing w:before="120" w:after="120"/>
              <w:rPr>
                <w:rFonts w:cs="Arial"/>
                <w:b w:val="0"/>
                <w:lang w:eastAsia="en-NZ"/>
              </w:rPr>
            </w:pPr>
            <w:r w:rsidRPr="00BE00C7">
              <w:rPr>
                <w:rFonts w:cs="Arial"/>
                <w:b w:val="0"/>
                <w:lang w:eastAsia="en-NZ"/>
              </w:rPr>
              <w:t>1.</w:t>
              <w:tab/>
              <w:t xml:space="preserve">Renovation of the rest home side of Onewa – painting and new carpets </w:t>
            </w:r>
          </w:p>
          <w:p w:rsidR="00EB7645" w:rsidRPr="00BE00C7" w:rsidP="00BE00C7">
            <w:pPr>
              <w:pStyle w:val="OutcomeDescription"/>
              <w:spacing w:before="120" w:after="120"/>
              <w:rPr>
                <w:rFonts w:cs="Arial"/>
                <w:b w:val="0"/>
                <w:lang w:eastAsia="en-NZ"/>
              </w:rPr>
            </w:pPr>
            <w:r w:rsidRPr="00BE00C7">
              <w:rPr>
                <w:rFonts w:cs="Arial"/>
                <w:b w:val="0"/>
                <w:lang w:eastAsia="en-NZ"/>
              </w:rPr>
              <w:t>2.</w:t>
              <w:tab/>
              <w:t>Installation of an upgraded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3.</w:t>
              <w:tab/>
              <w:t>Implemented an electronic medication documentation system on the 24th May 2016</w:t>
            </w:r>
          </w:p>
          <w:p w:rsidR="00EB7645" w:rsidRPr="00BE00C7" w:rsidP="00BE00C7">
            <w:pPr>
              <w:pStyle w:val="OutcomeDescription"/>
              <w:spacing w:before="120" w:after="120"/>
              <w:rPr>
                <w:rFonts w:cs="Arial"/>
                <w:b w:val="0"/>
                <w:lang w:eastAsia="en-NZ"/>
              </w:rPr>
            </w:pPr>
            <w:r w:rsidRPr="00BE00C7">
              <w:rPr>
                <w:rFonts w:cs="Arial"/>
                <w:b w:val="0"/>
                <w:lang w:eastAsia="en-NZ"/>
              </w:rPr>
              <w:t>4.</w:t>
              <w:tab/>
              <w:t>The introduction of quality teams with all staff now belonging to a quality team (link CI 1.2.3.6)</w:t>
            </w:r>
          </w:p>
          <w:p w:rsidR="00EB7645" w:rsidRPr="00BE00C7" w:rsidP="00BE00C7">
            <w:pPr>
              <w:pStyle w:val="OutcomeDescription"/>
              <w:spacing w:before="120" w:after="120"/>
              <w:rPr>
                <w:rFonts w:cs="Arial"/>
                <w:b w:val="0"/>
                <w:lang w:eastAsia="en-NZ"/>
              </w:rPr>
            </w:pPr>
            <w:r w:rsidRPr="00BE00C7">
              <w:rPr>
                <w:rFonts w:cs="Arial"/>
                <w:b w:val="0"/>
                <w:lang w:eastAsia="en-NZ"/>
              </w:rPr>
              <w:t>5.</w:t>
              <w:tab/>
              <w:t xml:space="preserve">A focus on HCA training resulting in 93.1% or 27 staff having completed ACE advance, 83.9% or 31 staff having completed ACE dementia and 89.7% or 29 staff having completed ACE core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of their responsibility to notify family/next of kin of any accident/incident and ensure full and frank open disclosure occurs.  Ten incidents/accidents forms were reviewed (six hospital and four rest home).  The forms included a section to record family notification.  All ten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Onewa is owned and operated by the CHT Healthcare Trust.  The service provides rest home and hospital level care for up to 70 residents.  On the day of the audit, there were 28 rest home level (including two respite residents) and 42 hospital level residents.  There are 64 dual-purpose rooms.  Onewa is part of the CHT northern regions and lead by an area manager who is a practicing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a management role at the facility for three years and was previously a clinical coordinator at another CHT facility.  The unit manager reports to the area manager weekly on a variety of operational issues.  CHT has an overall business/strategic plan and Onewa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senior management team and the area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Onewa.  Interviews with staff confirmed that quality data is discussed at monthly staff meetings to which all staff are invited.  The unit manager advised that she is responsible for providing oversight of the quality programme.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monthly and a quarterly newsletter is sent to all family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exceeded the required standard around the development of quality teams has been effective in reducing negative outcomes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along with the health and safety team investigates accidents and near misses and analysis of incident trends occurs.  There is a discussion of incidents/accidents at monthly quality meetings as well as quality, and health and safety team meetings, including actions to minimise recurrence.  A registered nurse conducts clinical follow-up of residents.  Ten incident forms sampled demonstrated that appropriate clinical follow-up and investigation occurred following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confirmed that there is an awareness of the requirement to notify relevant authorities in relation to essential notifications.  A section 31 notification was made regarding a stage 4 pressure injury and an outbreak in July 2015 was appropriately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Seven staff files were reviewed (two registered nurses, an activities coordinator and four healthcare assistants) and evidence that reference checks were completed before employment was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in-service education programme for 2015 has been completed and a plan for 2016 is being implemented.  The unit manager and registered nurses are able to attend external training, including sessions provided by the local DHB.  Seven of the eight registered nurses have completed InterRAI training and one is in progress.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two registered nurses are on at any one time for morning and afternoon shifts and one at night.  The registered nurse on each shift is aware that extra staff can be called on for increased resident requirements.  The service is divided into teams and staff have allocated residents to ensure they get to know the resident well.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admission to hospital are managed appropriately and relevant information is communicated to the DHB.  The facility uses the transfer (yellow) aged care envelope.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The facility has just commenced using an electronic medication system.  This is a new process and it is being closely monitored on a daily basis.  Any problems are documented, discussed and attended to immediately.  Prescribed medication is signed as administered electronically.  Registered nurses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(GPs) prescribe medications electronically.  These were charted correctly and there was evidence of three monthly reviews by the GP.  Two residents self-administer their own medicines, and the documentation was correctly recorded and a competency assessment was completed.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All electronic charts had a photo ID, allergy status was recorded and ‘as required’ medications had prescribed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well-equipped kitchen and all food is cooked on site by contracted kitchen staff (one cook during the week and one at the weekends, two kitchen hands and one baker Monday to Thursday).  There is a food services manual in place to guide staff.  A resident nutritional profile is developed for each resident on admission and the profile is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cooks follow a four weekly seasonal menu, which is reviewed by a dietitian.  The service has exceeded the required standard around the management of weight loss.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There was evidence that there are additional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completed assessment tools and assessments that were reviewed at least six monthly or, when there was a change to a resident’s health condition.  The InterRAI assessment tool is implemented.  InterRAI assessments have been completed for all residents.  Care plans sampled were developed based on these assessments.  Additional assessments for management of behaviour and wound care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needs and goals, and identified allied health involvement.  The InterRAI assessment process informs the development of the resident’s care plan.  Residents and their family/whānau interviewed reported that they are involved in the care planning and review process.  The resident or relatives sign long-term care plans.  Short-term care plans are in use for changes in health status.  Staff interviewed reported they found the plans easy to follow.  There was documented input from a range of specialist care professionals including the podiatrist, physiotherapist, specialist wound care nurse and the mental health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external nursing or allied health advice is required, the RNs will initiate a referral (eg, to the wound care nurse specialist or the mental health team).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six residents with wounds (one chronic leg ulcer and five skin tears) and three residents with pressure injuries.  All wounds have been reviewed in appropriate timeframes.  The RNs have access to specialist nursing wound care management advice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demonstrate interventions to meet residents’ needs.  There was evidence of pressure injury prevention interventions such as two hourly turning charts, food and fluid charts, regular monitoring of bowels and regular (monthly or more frequently if required) weight management.  The service has commenced the REAP plan around weight management for residents with initial results showing improved outcomes for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such as weight, observations and wounds are in use as applicable.  Behaviour charts were in use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diversional therapist (38 hours Monday through Friday) and one activity assistant (four hours Monday through Saturday) operate the activities programme.  In addition, an activities assistant works two hours on a Sunday.  Each resident has an individual activities assessment on admission, which is incorporated into the InterRAI assessment process.  An individual activities plan is developed for each resident by the activities coordinators in consultation with the registered nurses.  Residents are free to choose whether they wish to participate or not.  There is a wide variety of activities available.  Special events such as birthdays, Chinese New Year, Easter are celebrated.  Those who prefer to stay in their rooms have one-on-one visits.  Participation is monitored.  There is a fortnightly van outing and a monthly community afternoon-tea group with entertainment run by a church group.  Church services are available for all denominations.  All long-term resident files sampled have a recent activities plan within the care plan and this is evaluated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files sampled demonstrated that the InterRAI assessment and long-term care plan were evaluated at least six monthly or earlier if there was a change in health status.  There was at least a three monthly review by the GP.  All changes in health status were documented and followed up.  The RN completing the plan signs the care plan reviews and then gives it to the resident or relative to read and sign.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Evidence of referrals was sighted on three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All medical and electrical equipment was recently serviced and/or calibrated.  Hot water temperatures are monitored and managed to within 43-45 degrees Celsius.  All communal areas, hallways and resident rooms are carpeted.  All ensuites, showers and utility areas have non-slip vinyl flooring.  The facility has sufficient space for residents to mobilise using mobility aids and residents were observed moving around freely.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32 rooms with toilets and hand basins, 29 rooms with shared toilets and hand basins and 8 rooms with hand basins only.  There are adequate communal showers and toilets.  Fixtures, fittings and flooring are appropriate and toilets/showers are constructed for ease of cleaning.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two large lounges and dining areas, and several smaller lounges.  These are large enough to cater for activities (as observed taking place).  Seating and space can be arranged to allow both individual and group activities to occur.  There are sufficient communal areas for residents who prefer quieter activities or visitors to 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cleaners have access to a range of chemicals, cleaning equipment and protective clothing.  The standard of cleanliness is monitored through the internal audit programme.  Residents interviewed were satisfied with the standard of cleanliness in the facility.  Cleaning trolleys are stored in a locked cupboard when not in use.  Safety data 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off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these were observed to be within close proximity.</w:t>
            </w:r>
          </w:p>
          <w:p w:rsidR="00EB7645" w:rsidRPr="00BE00C7" w:rsidP="00BE00C7">
            <w:pPr>
              <w:pStyle w:val="OutcomeDescription"/>
              <w:spacing w:before="120" w:after="120"/>
              <w:rPr>
                <w:rFonts w:cs="Arial"/>
                <w:b w:val="0"/>
                <w:lang w:eastAsia="en-NZ"/>
              </w:rPr>
            </w:pPr>
            <w:r w:rsidRPr="00BE00C7">
              <w:rPr>
                <w:rFonts w:cs="Arial"/>
                <w:b w:val="0"/>
                <w:lang w:eastAsia="en-NZ"/>
              </w:rPr>
              <w:t>There is security lighting at night and access to the building is by bell.  There are random night security guard patrols.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central heating throughout the facility.  Some residents who feel the cold also have oil heaters in their rooms.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Onewa has an established infection control programme.  The IC team who meet monthly leads the programme.  Monthly reports from the IC team are integrated into the quality team meetings.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and the infection control team.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nurse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Tauranga infection Control Forum, and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acted-upon in a timely manner.  Reports are easily accessible to the unit manager.  An outbreak of norovirus in June 2015 was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Individual infection reports are completed for all infections.  Infections are analysed for trends and quality improvements.  Graphs and relevant information is communicated to staff, and documented in management and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for infection control are included in the annual audit schedule.  There is close liaison with the GP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by using surveillance data to improve resident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eight residents with restraint and two residents with an enabler.  Five residents have bedrails as a restraint, seven have lap belts and one has table top restraint during meals (some residents have more than one restraint approved).  The two enablers were bed rails, both files sampled documented that enabler use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and monthly, as part of the restraint group.  A registered nurse is the designated restraint coordinator and the lead of the restraint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The assessment and approval process for restraint use included the restraint coordinator, registered nurses, resident or representative and medical practitioner.  The restraint team monitors and checks all restraints at least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four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form/process is completed for all restraints and enablers.  The files reviewed had a completed assessment form and a care plan that reflected risk.  Monitoring forms that included regular monitoring at the frequency determined by the risk level were present in the files reviewed, and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at quality meetings, by the facility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The restraint coordinator and the restraint team complete reviews.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9"/>
        <w:gridCol w:w="1280"/>
        <w:gridCol w:w="4406"/>
        <w:gridCol w:w="6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and non-clinical staff at CHT Onewa are allocated to specific quality teams over a 12 month period.  These teams are compiled of registered nurses, healthcare assistants, physiotherapists, the chef, and activities coordinators as needed.  Each team collects statistics each month and prepares a summary report that is shared with all staff at the registered nurse meeting and monthly staff meeting.  Training sessions are based on findings identified in these trend analysis reports.  The teams include health and safety, infection control, restraint, the skin care and pressure injury team, the continence team, the REAP (weight management team).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development of quality teams has been effective in improving outcomes for residents.  An example includes:</w:t>
            </w:r>
          </w:p>
          <w:p w:rsidR="00EB7645" w:rsidRPr="00BE00C7" w:rsidP="00BE00C7">
            <w:pPr>
              <w:pStyle w:val="OutcomeDescription"/>
              <w:spacing w:before="120" w:after="120"/>
              <w:rPr>
                <w:rFonts w:cs="Arial"/>
                <w:b w:val="0"/>
                <w:lang w:eastAsia="en-NZ"/>
              </w:rPr>
            </w:pPr>
            <w:r w:rsidRPr="00BE00C7">
              <w:rPr>
                <w:rFonts w:cs="Arial"/>
                <w:b w:val="0"/>
                <w:lang w:eastAsia="en-NZ"/>
              </w:rPr>
              <w:t>Falls were noted to be high for the service during 2014 and Onewa reported the highest falls in the CHT group.  The health and safety group took a proactive approach and undertook a root cause analysis of falls.  Monthly reports to the quality team documented where and when falls were occurring, common themes for falls and identification of frequent fallers.  Falls prevention strategies were implemented that reflected their root cause analysis including (but not limited to) shower mats for showers as residents were reported as slipping in the shower, an exercise programme for residents, and ensuring residents are part of the Vitamin D programme.  More sensor mats were purchased.  All call bells have clips to attach cords to be near residents.  Additional training was provided around falls prevention with staff.  The health and safety group also undertake ‘walk rounds’ to ensure falls prevention strategies are always implemented.</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(which they undertake monthly), they noted a drop in falls incidents.  During 2014, the service averaged 25 to 35 falls per month, falling to 20 to 25 per month, during 2015.  For the six months in 2016 the monthly falls have fallen to five to 20 a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team credit this reduction to a team approach that involves all aspects of staff from managers to healthcare assistants and encompassing activities staff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well-equipped kitchen and all food is cooked on site by contracted kitchen staff.  A food services manual is in place to guide staff.  Registered nurses assess the dietary needs of all residents and referral to a dietitian is initiated as appropriate.  The kitchen staff are informed of all dietary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that they needed to identify residents at risk of malnutrition and provide early intervention in order to ensure the risks associated with unintended weight loss could be minimised.</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the ‘Replenish Energy and Protein’ (REAP).  The action plan included training for kitchen and Onewa staff, consulting with an external dietitian and providing additional staff to assist with meals.  Residents at risk of malnutrition were commenced on the REAP diet programme and weight monitored over time.</w:t>
            </w:r>
          </w:p>
          <w:p w:rsidR="00EB7645" w:rsidRPr="00BE00C7" w:rsidP="00BE00C7">
            <w:pPr>
              <w:pStyle w:val="OutcomeDescription"/>
              <w:spacing w:before="120" w:after="120"/>
              <w:rPr>
                <w:rFonts w:cs="Arial"/>
                <w:b w:val="0"/>
                <w:lang w:eastAsia="en-NZ"/>
              </w:rPr>
            </w:pPr>
            <w:r w:rsidRPr="00BE00C7">
              <w:rPr>
                <w:rFonts w:cs="Arial"/>
                <w:b w:val="0"/>
                <w:lang w:eastAsia="en-NZ"/>
              </w:rPr>
              <w:t>Five residents (three rest home and two hospital) on the programme all gained weight over a period of four months.  The programme has been extended for all residents at risk of malnutrition.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Onewa is active in analysing data collected monthly, around infection control through the infection control team.  The team reviews all infections each month and documents a report to the quality meeting.  Reports include, incidence of infection, trends, training needs and individual resident follow-up.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high urinary tract infection (UTI) rate for the service was an area of concern in June 2015.  The IC group documented and commenced a strategy to reduce UTIs.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UTI prevention strategies were implemented including (but not limited to) an information and training day for resident and family around causes and prevention of UTI’s,  training for registered nurses and all staff around UTI prevention, recognition and treatments, additional fluid rounds implemented and residents with known susceptibility had additional needs documented in care plans.  Additional glasses and water carafes were purchased to ensure all residents had access to drinks at any time.   </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UTIs for the nine-month period June 2015 to March 2016 and this trend continues to decrease.  Other corrective actions and strategies have been implemented where clinical indicators were high.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Onewa Hospital and Rest Home</w:t>
    </w:r>
    <w:bookmarkEnd w:id="58"/>
    <w:r>
      <w:rPr>
        <w:rFonts w:cs="Arial"/>
        <w:sz w:val="16"/>
        <w:szCs w:val="20"/>
      </w:rPr>
      <w:tab/>
      <w:t xml:space="preserve">Date of Audit: </w:t>
    </w:r>
    <w:bookmarkStart w:id="59" w:name="AuditStartDate1"/>
    <w:r>
      <w:rPr>
        <w:rFonts w:cs="Arial"/>
        <w:sz w:val="16"/>
        <w:szCs w:val="20"/>
      </w:rPr>
      <w:t>30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