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Olive Tree Holdings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Olive Tree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Olive Tree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June 2016</w:t>
      </w:r>
      <w:bookmarkEnd w:id="7"/>
      <w:r w:rsidRPr="009418D4">
        <w:rPr>
          <w:rFonts w:cs="Arial"/>
        </w:rPr>
        <w:tab/>
        <w:t xml:space="preserve">End date: </w:t>
      </w:r>
      <w:bookmarkStart w:id="8" w:name="AuditEndDate"/>
      <w:r w:rsidR="00A4268A">
        <w:rPr>
          <w:rFonts w:cs="Arial"/>
        </w:rPr>
        <w:t>14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Olive Tree rest home and dementia care retirement village is part of the Arvida aged residential care group. </w:t>
      </w:r>
    </w:p>
    <w:p w:rsidRPr="00A4268A">
      <w:pPr>
        <w:spacing w:before="240" w:line="276" w:lineRule="auto"/>
        <w:rPr>
          <w:rFonts w:eastAsia="Calibri"/>
        </w:rPr>
      </w:pPr>
      <w:r w:rsidRPr="00A4268A">
        <w:rPr>
          <w:rFonts w:eastAsia="Calibri"/>
        </w:rPr>
        <w:t xml:space="preserve">An experienced village manager is responsible for the daily operations of the service.  A clinical services manager/registered nurse support her.  The service provides rest home and dementia level of care for up to 46 residents.  On the day of the audit there were 43 residents including four rest home residents in apartments.  </w:t>
      </w:r>
    </w:p>
    <w:p w:rsidRPr="00A4268A">
      <w:pPr>
        <w:spacing w:before="240" w:line="276" w:lineRule="auto"/>
        <w:rPr>
          <w:rFonts w:eastAsia="Calibri"/>
        </w:rPr>
      </w:pPr>
      <w:r w:rsidRPr="00A4268A">
        <w:rPr>
          <w:rFonts w:eastAsia="Calibri"/>
        </w:rPr>
        <w:t>The residents and relatives spoke positively about the care and services provided at Olive Tree rest home.</w:t>
      </w:r>
    </w:p>
    <w:p w:rsidRPr="00A4268A">
      <w:pPr>
        <w:spacing w:before="240" w:line="276" w:lineRule="auto"/>
        <w:rPr>
          <w:rFonts w:eastAsia="Calibri"/>
        </w:rPr>
      </w:pPr>
      <w:r w:rsidRPr="00A4268A">
        <w:rPr>
          <w:rFonts w:eastAsia="Calibri"/>
        </w:rPr>
        <w:t xml:space="preserve">This surveillance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 xml:space="preserve">The service has addressed one of one finding from the previous certification audit around progress notes and general practitioner records.   </w:t>
      </w:r>
    </w:p>
    <w:p w:rsidRPr="00A4268A">
      <w:pPr>
        <w:spacing w:before="240" w:line="276" w:lineRule="auto"/>
        <w:rPr>
          <w:rFonts w:eastAsia="Calibri"/>
        </w:rPr>
      </w:pPr>
      <w:r w:rsidRPr="00A4268A">
        <w:rPr>
          <w:rFonts w:eastAsia="Calibri"/>
        </w:rPr>
        <w:t xml:space="preserve">This audit identified an area for improvement around wound care documentation and dating of eye drops in use.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 interviewed verified that management has an open door policy. The service communicates appropriately with residents and families.  Complaints processes are implemented and managed in-line with the Code.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Olive Tree is part of the Arvida group. A team at head office provides support for management. The service is implementing a quality and risk management system that supports the provision of clinical care.  Quality data is collated for accident/incidents, infection control, internal audits, concerns and complaints, and surveys.       </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plans, and reviews residents' needs, outcomes and goals with resident and/or family/whānau input.  Care plans viewed in resident records demonstrated service integration and were evaluated at least six monthly.   </w:t>
      </w:r>
    </w:p>
    <w:p w:rsidRPr="00A4268A" w:rsidP="00621629">
      <w:pPr>
        <w:spacing w:before="240" w:line="276" w:lineRule="auto"/>
        <w:rPr>
          <w:rFonts w:eastAsia="Calibri"/>
        </w:rPr>
      </w:pPr>
      <w:r w:rsidRPr="00A4268A">
        <w:rPr>
          <w:rFonts w:eastAsia="Calibri"/>
        </w:rPr>
        <w:t>The activities programme meets the individual recreational, physical, cultural and cognitive abilities and preferences of the residents.</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administration of medicines and complete annual education and medication competencies.     </w:t>
      </w:r>
    </w:p>
    <w:p w:rsidRPr="00A4268A" w:rsidP="00621629">
      <w:pPr>
        <w:spacing w:before="240" w:line="276" w:lineRule="auto"/>
        <w:rPr>
          <w:rFonts w:eastAsia="Calibri"/>
        </w:rPr>
      </w:pPr>
      <w:r w:rsidRPr="00A4268A">
        <w:rPr>
          <w:rFonts w:eastAsia="Calibri"/>
        </w:rPr>
        <w:t xml:space="preserve">Food, fluid, and nutritional needs of residents are provided in-line with recognised nutritional guidelines and additional requirements/modified needs were being met.  There are nutritious snacks available 24 hours in the dementia unit.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is practiced and overseen by the registered nurse.  There are no residents using enablers or restraints.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registered nurse is the infection control coordinator.  Surveillance data is collected and collated.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18"/>
        <w:gridCol w:w="1280"/>
        <w:gridCol w:w="101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which aligns with Right 10 of the Code.   Complaints forms are visible and available for relatives/residents.  A complaints procedure is provided to residents within the information pack at entry.  The complaints file was reviewed and there is an up-to-date complaints register.  Five complaints from 2016 were reviewed.  This included both verbal and written complaints and they all show that appropriate and timely responses have been documented.</w:t>
            </w:r>
          </w:p>
          <w:p w:rsidR="00EB7645" w:rsidRPr="00BE00C7" w:rsidP="00BE00C7">
            <w:pPr>
              <w:pStyle w:val="OutcomeDescription"/>
              <w:spacing w:before="120" w:after="120"/>
              <w:rPr>
                <w:rFonts w:cs="Arial"/>
                <w:b w:val="0"/>
                <w:lang w:eastAsia="en-NZ"/>
              </w:rPr>
            </w:pPr>
            <w:r w:rsidRPr="00BE00C7">
              <w:rPr>
                <w:rFonts w:cs="Arial"/>
                <w:b w:val="0"/>
                <w:lang w:eastAsia="en-NZ"/>
              </w:rPr>
              <w:t>One complaint was sent through the Health and Disability Advocacy service and was a follow-up complaint from an earlier complaint around meal services.  This has been responded to and the service awaits a reply.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manager and registered nurse confirm family are kept informed.  Relatives (one rest home and one dementia care) stated they are notified promptly of any incidents/accidents.  Resident meetings are held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include the resident and or family signatures and ten resident related incident forms reviewed all include family notification of the incident.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Olive Tree is part of the Arvida group.  It is currently certified to provide rest home and dementia level care for up to 46 residents, including up to five rest home residents in the serviced apartments.  On the day of audit, there were 26 rest home level residents including four residents in serviced apartments, and 16 dementia level residents.  There were no respite residents and all residents were on the ARC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mission statement and philosophy.  </w:t>
            </w:r>
          </w:p>
          <w:p w:rsidR="00EB7645" w:rsidRPr="00BE00C7" w:rsidP="00BE00C7">
            <w:pPr>
              <w:pStyle w:val="OutcomeDescription"/>
              <w:spacing w:before="120" w:after="120"/>
              <w:rPr>
                <w:rFonts w:cs="Arial"/>
                <w:b w:val="0"/>
                <w:lang w:eastAsia="en-NZ"/>
              </w:rPr>
            </w:pPr>
            <w:r w:rsidRPr="00BE00C7">
              <w:rPr>
                <w:rFonts w:cs="Arial"/>
                <w:b w:val="0"/>
                <w:lang w:eastAsia="en-NZ"/>
              </w:rPr>
              <w:t>A village manager who has many years’ experience in aged care manages the facility.  A clinical services manager (registered nurse), who has worked with the service as an RN for three years, has been clinical services manager for seven months.  The managers have completed at least eight hours of professional development including regional provider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Olive Tree has a quality and risk programme that is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business plan 2016 to 2017, as well as a quality and risk plan.  The service is in the process of linking to the Arvida corporate process, such as business and quality plan templates and implementing the Arvida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reviewed services and has documented action plans for areas for improvement.  These included an improved laundry process, the creation of a team leader on the dementia unit to improve continuity of care, individualisation of doors in the dementia unit to assist resident’s recognition of their own room, music therapy, a dementia support group and a weight project to reduce weight loss.  All action plans are documented and evidence follow-up to ensure the projects continue to improve services.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implemented to provide assurance that the service is meeting accepted good practice and adhering to relevant standards, including those standards relating to the Health and Disability Services (Safety) Act 2001.  Staff confirmed they are made aware of any new/reviewed policies.  Assessment policies have been updated to include reference to the use of the InterRAI assessment tool.</w:t>
            </w:r>
          </w:p>
          <w:p w:rsidR="00EB7645" w:rsidRPr="00BE00C7" w:rsidP="00BE00C7">
            <w:pPr>
              <w:pStyle w:val="OutcomeDescription"/>
              <w:spacing w:before="120" w:after="120"/>
              <w:rPr>
                <w:rFonts w:cs="Arial"/>
                <w:b w:val="0"/>
                <w:lang w:eastAsia="en-NZ"/>
              </w:rPr>
            </w:pPr>
            <w:r w:rsidRPr="00BE00C7">
              <w:rPr>
                <w:rFonts w:cs="Arial"/>
                <w:b w:val="0"/>
                <w:lang w:eastAsia="en-NZ"/>
              </w:rPr>
              <w:t>The service collects and collates accident/incident and infection control data.  Monthly comparisons include trends and graphs.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robust quality process is in place that includes a monthly internal audit schedule, and collection and collation of incidents and accidents.  The service has reviewed quality outcomes and implemented a variety of quality plans.  The quality plans are evaluated regularly.  Staff interviewed are aware of quality outcomes and the quality plans. Staff meetings are held.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covers all aspects of the service and aligns with the requirements of the Health and Disability Services (Safety) Act 2001. Corrective actions are developed, implemented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manager is responsible for health and safety education, internal audits and non-clinical accident/incident investigation.  There is a current hazard register.  Staff confirm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is a falls prevention and management policy in place and falls are addressed on an individual basis as part of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falls related accident/incident forms for the month of May 2016 were sampled.  Registered nurses document clinical reviews following incidents and accidents.  Accidents/incidents were also recorded in the resident progress notes and changes to care plan documented as needed (link 1.3.6.1).   There is documented evidence the family had been notified promptly of accidents/incidents.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analyses falls according to the time of the fall.  Monthly collation includes graphs and trend analysis.  A report is generated for the senior management team that includes frequent fallers, and comparison of all incident rates with the previous months (link to 1.2.3 6 for communication through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confirm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sampled (one RN, one cook and three caregivers) contained all relevant employment documentation.  Current practising certificates were sighted for the registered nurses.  The service has an orientation programme in place that provides new staff with relevant information for safe work practice.  Staff interviewed believed that new staff were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An education planner is in place that covers compulsory education requirements over a two-year period.  The RNs have completed InterRAI training.  Clinical staff complete competencies relevant to their role.  Caregivers who work in the dementia unit are sufficiently qualified and meet the ARC contract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A roster provides sufficient and appropriate coverage for the effective delivery of care and support.  The manager and clinical services manager (RN) are on-site full time and available afterhours.  There is at least one RN on duty every day as well as the clinical manager.  The caregivers, residents and family interviewed advised that there are sufficient staff on duty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maintain progress notes that record a residents care and any significant events.  All entries are dated, timed and signed with designation.  The previous finding around time of entries has been addressed.  Medical notes are legible, including the medical practitioner signature.  Medication charts are on an electronic medication system.  The previous finding around identification of the medical practitioner has also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Registered nurses and caregivers who administer medications, have been assessed for competency on an annual basis and attend annual medication education.  Registered nurses have completed syringe driver training.  The service uses an electronic medication system.  All medications are checked on delivery against the medication chart.  Medication fridges are checked weekly and are maintained within the acceptable temperature range.  There were undated eye drops in the rest home and dementia care medication trolleys.  Standing orders are not used. There was one self-medicating rest home resident with a self-medication competency that had been reviewed three monthly.  Self-medication monitoring is evident in the electronic medication system.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(six rest home and four dementia-care) were reviewed.  All medication charts had photo identification and allergy status documented on the chart. The administration signing sheets corresponded with the medication charts.  All medication charts had been reviewed at least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Olive Tree are prepared and cooked, by qualified cooks on-site.  The cooks are supported by morning and afternoon kitchenhands.  Food services staff have attended basic food safety training.  A dietitian has reviewed the seasonal menu.  Meals are served directly from the kitchen to the resident dining area.  Meals are delivered in a bain-marie to the apartments.  Plated meals are delivered in hot boxes to the dementia care unit.  The cook receives a resident dietary profile for new residents and notified of any dietary changes.  Likes and dislikes are known.  Special diets are accommodated including high protein, high calorie, diabetic desserts, low sodium and vegetarian.  There are nutritious snacks available 24-hours in the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twice daily.  End cooked food temperatures are recorded.  Perishable foods sighted in the fridges were dated.    Chemicals are stored safely.  A maintenance and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GP or nurse specialist consultation.  There is documented evidence that family members were notified of any changes to their relative’s health including (but not limited to) accident/incidents, infections, health professional visits, referrals and changes in medications.  Discussions with families and notifications are documented on the ‘communication with family’ form in the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 and treatment forms and ongoing evaluation forms were in place for three residents with wounds.  Not all wound care documentation was in place. The service has access to a wound nurse specialist if required.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identifying resident nutritional status and preferences.  Monitoring occurs for weight, vital signs, blood glucose, and pain, challenging behaviour, food and fluid input charts.  Post falls documentation was incomplete for one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short-term changes in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qualified diversional therapists (DT) who both work 30 hours per week each in the rest home and the dementia care unit.  Both work Monday to Friday with an activity person for 2.5 hours in the weekends.  Caregivers also initiate activities such as movies, small group activities and one-on-one activities for residents, in the weekends.  The DTs provide individual and group activities for rest home and dementia care residents that meet the abilities and preferences of the residents.  There are separate programmes for each area with integrated activities for entertainers, church services and happy hours.  The DT hobby room is utilised for baking, craft and art therapy.  Volunteers are involved in the activity programme with canine therapy, music and church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community links, including attending social and community events. Van outings are regularly offered for rest home and dementia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support group meetings are held and families are invited to attend the monthly resident meetings.  A diversional therapy resident social profile is completed on admission.  Individual activity plans were sighted in the resident files.  The DTs are involved in the six-monthly multidisciplinary review.  The service receives feedback and suggestions for the programme through surveys and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evaluated all initial care plans (sampled) within three weeks of admission.  The multidisciplinary team has reviewed long-term care plans at least six monthly or earlier for any health changes.  Family are invited to attend the MDT review and are informed of any changes if unable to attend.  The GP reviews the residents at least three monthly or earlier if required.  Ongoing nursing evaluations occur as indicated, documented within the progress notes, and are evident in changes made to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fitness that expires on 31 July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coordinators collate information obtained through surveillance, to determine infection control activities and education needs in the facility.  Individual infection reports and short-term care plans are completed for all infections.  Infection control data and relevant information is on display for staff (link 1.2.3.6).  Definitions of infections are in place appropriate to the complexity of service provided.  Infection control data is collected and collated.  Annual infection control reports are completed.  Trends are identified and preventative measures put in place.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is practiced.  The registered nurse oversees the restraint process within the facility.  There are policies around restraint, enablers and the management of residents who may exhibit behaviours that challenge.  The service currently has no residents using enablers or restraints.  Any resident requiring restraint, or who exhibited behaviours that may challenge would be reassessed to determine their suitability to continue to reside in the rest home.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0"/>
        <w:gridCol w:w="1280"/>
        <w:gridCol w:w="3718"/>
        <w:gridCol w:w="3634"/>
        <w:gridCol w:w="22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were stored correctly. There were no expired medications. Two eye drops in the rest home medication trolley had been dated on opening.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out of six eye drops in use in the rest home medication trolley had not been dated on opening.  One eye drops in use in the dementia care unit had not been dated on opening.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eye drops are dated on opening.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minor wounds being treated on the day of audit.  One wound had a wound assessment and short-term care plan in place.  One rest home resident identified as a high falls risk had accident/incident forms completed post falls but a shortfall was identified around post falls assessments as per protocol.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One resident’s wound did not have a wound assessment or short-term care plan in place.  Another wound did not have a short-term care plan completed. 2) A frequent-falls analysis and post falls assessment had not been completed for one rest home resident identified at high risk of falls and a frequent faller.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wound management documentation is completed for all wounds.  2) Ensure all post falls assessments are completed for frequent fallers and those identified at high risk of falls.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Olive Tree Holdings Limited</w:t>
    </w:r>
    <w:bookmarkEnd w:id="58"/>
    <w:r>
      <w:rPr>
        <w:rFonts w:cs="Arial"/>
        <w:sz w:val="16"/>
        <w:szCs w:val="20"/>
      </w:rPr>
      <w:tab/>
      <w:t xml:space="preserve">Date of Audit: </w:t>
    </w:r>
    <w:bookmarkStart w:id="59" w:name="AuditStartDate1"/>
    <w:r>
      <w:rPr>
        <w:rFonts w:cs="Arial"/>
        <w:sz w:val="16"/>
        <w:szCs w:val="20"/>
      </w:rPr>
      <w:t>14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