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Gracelands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Gracelands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June 2016</w:t>
      </w:r>
      <w:bookmarkEnd w:id="7"/>
      <w:r w:rsidRPr="009418D4">
        <w:rPr>
          <w:rFonts w:cs="Arial"/>
        </w:rPr>
        <w:tab/>
        <w:t xml:space="preserve">End date: </w:t>
      </w:r>
      <w:bookmarkStart w:id="8" w:name="AuditEndDate"/>
      <w:r w:rsidR="00A4268A">
        <w:rPr>
          <w:rFonts w:cs="Arial"/>
        </w:rPr>
        <w:t>30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was undertaken to monitor compliance with the Health and Disability Service Standards and the district health board contract. Gracelands Rest Home and Hospital is operated by the Oceania Care Company. The audit process included review of policies and procedures, sampling of residents and staff files, observations and interviews with residents, family/whanāu.</w:t>
      </w:r>
    </w:p>
    <w:p w:rsidRPr="00A4268A">
      <w:pPr>
        <w:spacing w:before="240" w:line="276" w:lineRule="auto"/>
        <w:rPr>
          <w:rFonts w:eastAsia="Calibri"/>
        </w:rPr>
      </w:pPr>
      <w:r w:rsidRPr="00A4268A">
        <w:rPr>
          <w:rFonts w:eastAsia="Calibri"/>
        </w:rPr>
        <w:t xml:space="preserve">The service provides for rest home and hospital level of care. Occupancy on the days of audit was 85. </w:t>
      </w:r>
    </w:p>
    <w:p w:rsidRPr="00A4268A">
      <w:pPr>
        <w:spacing w:before="240" w:line="276" w:lineRule="auto"/>
        <w:rPr>
          <w:rFonts w:eastAsia="Calibri"/>
        </w:rPr>
      </w:pPr>
      <w:r w:rsidRPr="00A4268A">
        <w:rPr>
          <w:rFonts w:eastAsia="Calibri"/>
        </w:rPr>
        <w:t xml:space="preserve">The business and care manager is responsible for the overall management of the facility and is supported by the clinical manager and regional and executive management team. Service delivery is monitored. </w:t>
      </w:r>
    </w:p>
    <w:p w:rsidRPr="00A4268A">
      <w:pPr>
        <w:spacing w:before="240" w:line="276" w:lineRule="auto"/>
        <w:rPr>
          <w:rFonts w:eastAsia="Calibri"/>
        </w:rPr>
      </w:pPr>
      <w:r w:rsidRPr="00A4268A">
        <w:rPr>
          <w:rFonts w:eastAsia="Calibri"/>
        </w:rPr>
        <w:t>An improvement is required in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are treated with respect and receive services in a manner that considers their dignity, privacy and independence. Information regarding resident rights, access to advocacy services and how to lodge a complaint is available to residents and their family. Information on the Health and Disability Commissioner's (HDC) Code of Health and Disability Services Consumers' Rights information (the Code), the complaints process and the Nationwide Health and Disability Advocacy Service, is available. The business and care manager is responsible for management of complaints. Interviews with residents and families confirmed that staff are polite and respectful of residents needs and communication is appropriate. Interviews with staff confirmed an understanding of residents' rights and obligations. This knowledge is incorporated into their daily work duties and caring for the residents.</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relating to the care they receive.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is the governing body and is responsible for the service provided at Gracelands Rest Home and Hospital. The business and care manager is qualified and experienced. Oceania has a documented quality and risk management system that supports the provision of clinical care and support at the service. Policies are reviewed at support office. Quality and risk performance is reported through meetings at the facility and is monitored by the organisation's management team through the business status reports and regional operations manager reports. </w:t>
      </w:r>
    </w:p>
    <w:p w:rsidRPr="00A4268A">
      <w:pPr>
        <w:spacing w:before="240" w:line="276" w:lineRule="auto"/>
        <w:rPr>
          <w:rFonts w:eastAsia="Calibri"/>
        </w:rPr>
      </w:pPr>
      <w:r w:rsidRPr="00A4268A">
        <w:rPr>
          <w:rFonts w:eastAsia="Calibri"/>
        </w:rPr>
        <w:t>Quality improvement is monitored and bench marking reports include incident/accidents, infection, complaints and clinical indicators with trends analysed to improve service delivery.</w:t>
      </w:r>
    </w:p>
    <w:p w:rsidRPr="00A4268A">
      <w:pPr>
        <w:spacing w:before="240" w:line="276" w:lineRule="auto"/>
        <w:rPr>
          <w:rFonts w:eastAsia="Calibri"/>
        </w:rPr>
      </w:pPr>
      <w:r w:rsidRPr="00A4268A">
        <w:rPr>
          <w:rFonts w:eastAsia="Calibri"/>
        </w:rPr>
        <w:t>There are human resource policies implemented relating to recruitment, selection, orientation and staff training. Professional qualifications were validated and registration with professional bodies was verified. A documented rationale for determining staffing levels and skill mix is implemented to reflect the resident’s acuity. The service has an annual training plan to ensure ongoing training and education for all staff members. Care staff, residents and family report that there are adequate staff available. The business and care manager as well as the clinical manager are available after hours, if required.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on admission to the facility by completing risk assessments and initial care plans. There is evidence that each stage of service provision is developed with resident and/or family input and coordinated to promote continuity of service delivery. The residents and family confirm their input into assessment, care planning and care evaluations. Where progress is different from expected, the service responds by initiating changes to the long term care plan or recording the short term goals and interventions on a short term care plan.</w:t>
      </w:r>
    </w:p>
    <w:p w:rsidRPr="00A4268A" w:rsidP="00621629">
      <w:pPr>
        <w:spacing w:before="240" w:line="276" w:lineRule="auto"/>
        <w:rPr>
          <w:rFonts w:eastAsia="Calibri"/>
        </w:rPr>
      </w:pPr>
      <w:r w:rsidRPr="00A4268A">
        <w:rPr>
          <w:rFonts w:eastAsia="Calibri"/>
        </w:rPr>
        <w:t>Planned activities are appropriate to the group setting. The residents and family confirm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There is a secure medicine dispensing system, free from heat, moisture and light, with medicines stored in original dispensed packs. Staff responsible for medicine management attend medication management in-service education and have current medication competencies. The resident self-administering medicines does so according to policy.</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Additional nutritional requirements/modified needs are being met. There is a central kitchen and on 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provides a physical environment specific to the needs of the residents. The physical environment reduces risks and promotes safety and independence for residents. Residents are provided with accessible and safe external areas. The service has a current building warrant of fitness, expiring in December 2017.</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w:t>
      </w:r>
    </w:p>
    <w:p w:rsidRPr="00A4268A">
      <w:pPr>
        <w:spacing w:before="240" w:line="276" w:lineRule="auto"/>
        <w:rPr>
          <w:rFonts w:eastAsia="Calibri"/>
        </w:rPr>
      </w:pPr>
      <w:r w:rsidRPr="00A4268A">
        <w:rPr>
          <w:rFonts w:eastAsia="Calibri"/>
        </w:rPr>
        <w:t>Staff education in restraint, de-escalation and challenging behaviour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and procedures include guidelines on prevention and minimisation of infection and cross infection, and contain all requirements of the standard. New employees are provided with training in infection control practices and there is on-going infection control education available for all staff.</w:t>
      </w:r>
    </w:p>
    <w:p w:rsidRPr="00A4268A">
      <w:pPr>
        <w:spacing w:before="240" w:line="276" w:lineRule="auto"/>
        <w:rPr>
          <w:rFonts w:eastAsia="Calibri"/>
        </w:rPr>
      </w:pPr>
      <w:r w:rsidRPr="00A4268A">
        <w:rPr>
          <w:rFonts w:eastAsia="Calibri"/>
        </w:rPr>
        <w:t>Infection control is a standard agenda item at facility’s meetings. 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confirms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6"/>
        <w:gridCol w:w="1280"/>
        <w:gridCol w:w="93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received education on the Health and Disability Commissioner (HDC) Code of Health and Disability Services Consumers' Rights (the Code) during their induction to the service. This also forms part of their annual mandatory education programme. Interviews with the staff confirmed their understanding of the Code. Examples were provided on ways the Code is implemented in their everyday practice especially regarding maintaining of residents' privacy, providing residents with choices and encouraging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information on how to make a complaint and access to brochures on the code advocacy services. Care staff are respectful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ensure residents and where appropriate their family are being provided with information to assist them to make informed choices and give informed consent. Written information on informed consent is included in the admission agreements. The clinical manager and business and care manager reported informed consent is discussed and recorded at the time the resident is admitted to the facility. Residents and family interviewed confirmed they have been made aware of and understand the principles of informed consent. Residents/family are provided with various consent forms on admission for completion as appropriate and these were reviewed on resident’s files. Copies of legal documents such as Enduring Power of Attorney (EPOA) for residents are retained at the facility where residents have named EPOAs and these were reviewed on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policies regarding advocacy/support services in place, including how to access independent advocates. Family interviewed confirmed that advocacy support is available to them, if required. Family confirmed receiving the information pack which includes the nationwide advocate’s details. This was confirmed through review of an information pack during the onsite audit. The information pack includes information on the complaints process and the Code.</w:t>
            </w:r>
          </w:p>
          <w:p w:rsidR="00EB7645" w:rsidRPr="00BE00C7" w:rsidP="00BE00C7">
            <w:pPr>
              <w:pStyle w:val="OutcomeDescription"/>
              <w:spacing w:before="120" w:after="120"/>
              <w:rPr>
                <w:rFonts w:cs="Arial"/>
                <w:b w:val="0"/>
                <w:lang w:eastAsia="en-NZ"/>
              </w:rPr>
            </w:pPr>
            <w:r w:rsidRPr="00BE00C7">
              <w:rPr>
                <w:rFonts w:cs="Arial"/>
                <w:b w:val="0"/>
                <w:lang w:eastAsia="en-NZ"/>
              </w:rPr>
              <w:t>Written information on the role of advocacy services is also provided to complainants at the time when their complaint is being acknowledged. Staff training on the role of advocacy services is included in Health and Disability Commissioner (HDC) Code of Health and Disability Services Consumers' Rights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Family interviews confirmed residents have access to visitors of their choice. Residents go out independently with family. Visitors' policy and guidelines are available to ensure resident safety and well-being is not compromised by visitors to the service. Residents' activity records reviewed demonstrated inclusion in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systems in place to manage the complaints process. The complaints process records a summary of complaints, the investigation, outcome and other processes required to evaluate the complaint. Changes brought about by the complaints process contributed to quality improvements in services.</w:t>
            </w:r>
          </w:p>
          <w:p w:rsidR="00EB7645" w:rsidRPr="00BE00C7" w:rsidP="00BE00C7">
            <w:pPr>
              <w:pStyle w:val="OutcomeDescription"/>
              <w:spacing w:before="120" w:after="120"/>
              <w:rPr>
                <w:rFonts w:cs="Arial"/>
                <w:b w:val="0"/>
                <w:lang w:eastAsia="en-NZ"/>
              </w:rPr>
            </w:pPr>
            <w:r w:rsidRPr="00BE00C7">
              <w:rPr>
                <w:rFonts w:cs="Arial"/>
                <w:b w:val="0"/>
                <w:lang w:eastAsia="en-NZ"/>
              </w:rPr>
              <w:t>Complaints reviewed had resolutions documented and were closed out.</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are held bi-monthly, where residents and their families are able to raise concerns or issues and meeting minutes confirmed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and information on the advocacy service are available and displayed in English and Te Reo in the foyer and other areas in the facility. The admission information packs reviewed  included information on the Code, advocacy and complaints processes. Interviews confirmed explanations regarding their rights occurred on admission. The business and care manager (BCM) clinical manager (CM) and registered nurses (RNs) follow up with a discussion with residents and families during the admission process. Residents and family members interviewed confirmed they were provided with information regarding the Code and the Nationwide Health and Disability Advocacy Service prior to admission. The completed resident and family surveys indicated residents are aware of their rights and are satisfied with this aspect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received copies of the Oceania handbook. Families and residents are informed of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have access to an advocate who visits the service on a regular basis. The business and care manager advised that an advocate visits the facility on a regular basis and is also responsible for taking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philosophy that promotes respect and dignity. Staff receive training on abuse/neglect as part of the in-service education programme. Staff were observed knocking before entering residents' rooms and keeping doors closed while attending to residents. Care staff interviewed demonstrated an awareness of residents ‘rights and understood their professional boundaries. Residents were observed being treated with respect by care staff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Activities and outings in the community are encouraged, and are part of the resident’s activities plan. Values, beliefs and cultural aspects of care are recorded in residents’ clinical files reviewed. Interviews with staff confirmed they are able to identify signs and symptoms of abuse and know the reporting process for concerns relating to resident abuse, should this ever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describes the view of Māori health and guides the organisation to implement services for Māori to eliminate cultural barriers. The rights of the residents/family to practise their own beliefs are acknowledged in the Māori health plan. Access to local kaumātua and advocacy services is available, if required from local providers of health and social services. Family/whanāu are involved in the care of their family members, this was confirmed in family/whanāu interviews.</w:t>
            </w:r>
          </w:p>
          <w:p w:rsidR="00EB7645" w:rsidRPr="00BE00C7" w:rsidP="00BE00C7">
            <w:pPr>
              <w:pStyle w:val="OutcomeDescription"/>
              <w:spacing w:before="120" w:after="120"/>
              <w:rPr>
                <w:rFonts w:cs="Arial"/>
                <w:b w:val="0"/>
                <w:lang w:eastAsia="en-NZ"/>
              </w:rPr>
            </w:pPr>
            <w:r w:rsidRPr="00BE00C7">
              <w:rPr>
                <w:rFonts w:cs="Arial"/>
                <w:b w:val="0"/>
                <w:lang w:eastAsia="en-NZ"/>
              </w:rPr>
              <w:t>Staff members provide cultural advice and support for staff, if required. A cultural assessment is completed as part of the care plan for all residents. Specific cultural needs are identified in the residents’ care plans. Staff are aware of the importance of whanāu in the delivery of care for the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provided evidence that appropriate culturally safe practices are implemented and maintained, including respect for residents' cultural and spiritual values and beliefs. Documentation lists the details on how to access appropriate expertise including cultural specialists and interpreters. Residents' files demonstrated that admission documentation identifies the ethnicity, cultural and spiritual requirements for the residents as well as family/whānau contact details. Residents and family/whanāu interviewed confirmed their culture, values and beliefs are respected, and their spiritual needs are met. During interview, care staff demonstrated an understanding of cultural safety. Processes are in place for residents to have access to appropriate services, ensuring their cultural and spiritual values and beliefs are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policies and procedures outline processes to protect residents from abuse, including discrimination, coercion, harassment, and exploitation, along with actions to be taken if there is inappropriate or unlawful conduct..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included copies of code of conduct policies, documents and training records on conflict of interest issues including the accepting of gifts and personal transactions with residents. Expected staff practice is outlined in job descriptions and employment contracts. Knowledge of these policies was confirmed in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Review of the adverse events reporting system, complaints register and interview of the business and care manager indicates there have been no allegations made by residents of unacceptable behaviour by staff members. Residents and family interviewed reported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systems in place to ensure staff receive a range of opportunities which promote good practice within the facility. Education is provided both internally and externally to facilitate and ensure good practice. The in service education programme is managed by the clinical manager. There is a training programme for all staff. Managers are encouraged to complete management training. There are monthly regional management meetings. Specialised training and related competencies are in place for the registered nursing staff, with a review of staff files indicating that these are completed annually by all staff, relevant to their role. Residents and families reviewed expressed a high level of confidence and satisfaction with the care delivered.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provided evidence that policies and procedures are based on evidence-based rationales.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are in place to ensure staff maintain open, transparent communication with residents and families. The residents' files reviewed provided evidence that communication with family members is documented in residents' records. There is evidence of communication with the general practitioner (GP) and family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advised access to interpreter services is available through the district health board, if required. Some residents who required interpreter services in the past have had this provided by families and a volunteer from the community. Residents interviewed confirmed that they are aware of the staff that are responsible for their care and staff communicate effectively with them. Admission agreements reviewed were signed and dated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Care Company Limited’s vision, values, mission statement and philosophy are displayed at the entrance to the facility, information in booklets and in staff training, provided annually. The service has a business and care manager, supported by a clinical manager and supported by the clinical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manager’s appointment is full time and responsible for all clinical matters. The clinical manager has worked for the organisation in a variety of roles. The business and care manager has a business management background, has been in this role for three years, and has recently been appointed as a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records their scope, direction and goals in their business, strategic and quality plans. The business and care manager provides monthly reports to the support office. Business status reports include quality and risk management issues, occupancy, human resource issues, quality improvements, internal audit outcomes and clinical indicators.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business and care manager (BCM) and/or the clinical manager (CM) be absent. The CM or the clinical quality manager stands in when the business and care manager is absent. Support is also provided by the regional operations manager and the senior clinical quality manager from the support office. The CM confirmed their responsibility and authority for this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Care Company policies guide their quality and risk management processes which support service delivery. All policies are reviewed by the support office, with input from clinical quality and the business and care managers. Polices are current and aligned with the Health and Disability Sector Standards, legislation, and best practice guidelines. Policies are available to staff in hard copy. New and revised policies are presented to staff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with quality objectives was reviewed during the onsite audit. These are used to guide the quality programme. Family/resident and staff satisfaction surveys are completed as part of their audit programme and collated results for surveys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is a hazard register that identifies health and safety risks, as well as risks associated with human resource management, legislative compliance, contractual risks and clinical risk. A health and safety manual is available that includes relevant policies and procedures. Service delivery is monitored through complaints, incidents and accidents, implementation of an internal audit programme, with corrective action plans documented and evidence of resolution of issues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monthly staff/quality meetings and health and safety meetings. All meetings have an agenda and minutes are maintained with documentation supporting the timeframes and designated roles to implement any changes in practice and outcomes. Meeting minutes evidenced communication with staff, residents and families regarding all aspects of quality improvement. The service has a document control system to manage new and obsolete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aware of situations in which the service would be required to report and notify statutory authorities, including police attending the facility, unexpected deaths, sentinel events, infectious disease outbreaks and changes in key management roles. Staff document adverse, unplanned or untoward events on an accident/incident form. This was confirmed in clinical records and during staff interviews. Incident and accident forms are reviewed and signed off by the business and care manager with input from the clinical manager and RNs. Incident reports had a corresponding note in the progress notes to inform staff of the incident. Incidents and accidents information is analysed, with corrective actions recorded. Incident and accident records include pressure injuries. Staff confirmed during interview that they are made aware of their responsibilities for completion of adverse events. The Oceania Care Company policies guide their quality and risk management processes which support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registered nurses (RN) hold current annual practicing certificates. There was evidence in the staff files that the contracted GP and the physiotherapist hold current practicing certificates. Staff have current annual performance appraisals on file. RNs are aware of their scope of practice and work within the guidelines of their scope.</w:t>
            </w:r>
          </w:p>
          <w:p w:rsidR="00EB7645" w:rsidRPr="00BE00C7" w:rsidP="00BE00C7">
            <w:pPr>
              <w:pStyle w:val="OutcomeDescription"/>
              <w:spacing w:before="120" w:after="120"/>
              <w:rPr>
                <w:rFonts w:cs="Arial"/>
                <w:b w:val="0"/>
                <w:lang w:eastAsia="en-NZ"/>
              </w:rPr>
            </w:pPr>
            <w:r w:rsidRPr="00BE00C7">
              <w:rPr>
                <w:rFonts w:cs="Arial"/>
                <w:b w:val="0"/>
                <w:lang w:eastAsia="en-NZ"/>
              </w:rPr>
              <w:t>Staff files included appointment documentation, for example, signed contracts, job descriptions, reference checks, police checks and interviews. Annual competencies are completed by clinical staff, for example, competencies relating to hoist and oxygen use, hand washing, wound management, medication management, moving and handling, restraint, nebuliser use, blood sugar management and insulin administration. The organisation has a mandatory education and training programme. Staff attendances are documented. Education and training hours are at least eight hours a year, for each staff member, with the RNs training records indicating that they have had well in excess of eight hours training in the past year. The RN training programme includes clinical topics, for example, wound management, de-escalation and management of challenging behaviour as well as continence management. Contracted allied health professionals had current annual practicing certificates (APCs)</w:t>
            </w:r>
          </w:p>
          <w:p w:rsidR="00EB7645" w:rsidRPr="00BE00C7" w:rsidP="00BE00C7">
            <w:pPr>
              <w:pStyle w:val="OutcomeDescription"/>
              <w:spacing w:before="120" w:after="120"/>
              <w:rPr>
                <w:rFonts w:cs="Arial"/>
                <w:b w:val="0"/>
                <w:lang w:eastAsia="en-NZ"/>
              </w:rPr>
            </w:pPr>
            <w:r w:rsidRPr="00BE00C7">
              <w:rPr>
                <w:rFonts w:cs="Arial"/>
                <w:b w:val="0"/>
                <w:lang w:eastAsia="en-NZ"/>
              </w:rPr>
              <w:t>All staff complete an orientation programme and health care assistants (HCAs) are paired with a senior HCA for several shifts or until they demonstrate competency in a number of tasks, including personal cares. HCAs confirmed their roles in supporting and buddying new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and process in place to determine the services provider levels and skill mixes in order to provide a safe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90 staff, including the management team, clinical staff, diversional therapist, activities coordinators, physiotherapist, physiotherapists assistant, and housekeeping staff. There is a designated role for roster management and implementation. Rosters were reviewed and there is sufficient cover to provide the safe services. Registered nurse (RN) cover is provided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There are clinical leaders who report to the clinical manager, support the RNs seven days per week, including after hour on-call duties. Health care assistants and family interviewed reported there are adequate staff available. Resident and family interviews confirm that services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and the hazard register is current. Policies and procedures specify labelling requirements in line with legislation including the requirement for labels to be clear, accessible to read and free from damage. Material safety data sheets are available throughout the facility and accessible for staff. Staff receive training and education to ensure safe and appropriate handling of waste and hazardous substances. Interviews with the household staff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personal protective clothing and equipment including; goggles/visors; gloves; aprons; footwear; and masks. During a tour of the facility, personal protective clothing and equipment was observed in areas where there were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need for service had been identified, it is planned, co-ordinated and delivered in a timely and appropriate manner. Information about the service is accessible and includes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There is a pre entry screening process, ensuring compliance with the facility’s entry criteria. Signed admission agreements meet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if required.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areas, including controlled drug storage evidence an appropriate and secure medicine dispensing system, free from heat, moisture and light, with medicines stored in original dispensed packs. Controlled drugs are checked by two nurses for accuracy in administration. The controlled drug register evidences weekly checks and six monthly stock takes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medication system. Safe processes for medicine management were observed on the days of the audit. Interview with the GP verified that any change in a resident’s medicine is automatically stored in a shared web portal, effectively connecting aged care facilities with pharmacies and the general practice.</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demonstrated knowledge and understanding of their roles and responsibilities relating to each stage of medicine management. All staff who administer medicines have completed medication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request to self-administer medicines do so according to policy. There was one resident self-administering medicines on audit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a seasonal menu reviewed by a dietitian. 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was sighted.</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cook confirmed they were aware of the residents’ individual dietary needs. There are current copies of the residents' dietary profiles in the kitchen. The kitchen staff are informed if resident's dietary requirements change, confirmed at interview with the cook.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In interviews, residents stated they were satisfied with the food service, reported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food temperatures are recorded, as are chiller and freezer temperatures. All decanted food is dated. Kitchen staff have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A cleaning schedule was sighted as was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family/whānau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interview with the clinical manager verified residents, their family/whānau and their referrers would be notified, if entry to the facility would be declined. The clinical manager stated there had been no residents declined entry to the facility since their appointment to the position of the clinical manager. Resident’s entry would be declined if the resident’s assessment required a different level of care to the level provided at the facility or if the facility had full occupancy. Where requested, assistance would be given to provide the resident and their family with other options for alternative health care arrangements or residential services, confirmed at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 the needs assessment and service coordination (NASC) agency; other service providers involved with the resident; the resident; family and on-site assessments using a range of assessment tools. The information gathered is recorded. </w:t>
            </w:r>
          </w:p>
          <w:p w:rsidR="00EB7645" w:rsidRPr="00BE00C7" w:rsidP="00BE00C7">
            <w:pPr>
              <w:pStyle w:val="OutcomeDescription"/>
              <w:spacing w:before="120" w:after="120"/>
              <w:rPr>
                <w:rFonts w:cs="Arial"/>
                <w:b w:val="0"/>
                <w:lang w:eastAsia="en-NZ"/>
              </w:rPr>
            </w:pPr>
            <w:r w:rsidRPr="00BE00C7">
              <w:rPr>
                <w:rFonts w:cs="Arial"/>
                <w:b w:val="0"/>
                <w:lang w:eastAsia="en-NZ"/>
              </w:rPr>
              <w:t>Over the next three weeks post resident’s admission, the CM, CN or  RN undertakes an interRAI assessment, and other assessments as clinically indicated, which are reviewed six monthly or as needs, outcomes and goals of the resident change. The residents’ interRAI assessments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individualised, integrated and up to date. The care plan interventions reflect the risk assessments and the level of care required. Short term care plans are developed, when required and signed off by the RN when problems are resolved.</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receive adequate information for continuity of residents’ care. The residents have input into their care planning and review. Regular GP care is implemented, sighted in current GP progress reports and confirmed at GP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residents’ needs and desired outcomes. Residents and family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comply with best practice guidelines and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diversional therapist (DT) and an activities coordinator are employed to develop and implement the planned recreational programme. There is one activities programme that specifies activities for hospital residents, specific activities for rest home residents and activities that both the hospital and rest home residents can participate 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assesses residents on admission to ascertain their activity and recreational needs with input from family, confirmed at interview. Activities assessments are analysed to develop the activities programme that is meaningful to the residents. The residents’ long term care plans reflect the activities assessment findings and are individualised and up to date. The planned monthly activities programme sighted matches the skills and interests evidenced in residents’ assessment data. Activities reflect residents’ goals, ordinary patterns of life and include normal community activities. Family/whānau and friends are welcome to attend all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physiotherapist assesses residents for mobility needs; residents who have frequent falls and when a resident’s condition deteriorates and mobility assessments require review. The physiotherapy assistant conducts the “get active programme’ and assists the physiotherapist with residents’ physiotherapy programmes.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registered nurse or the charge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reassessments occur every six months or as residents’ needs change, however the evaluation to measure the degree of a resident’s response in relation to desired outcomes and goals are not always recorded. Where progress is different from expected, the service responds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Short term care plans are reviewed daily, weekly or fortnightly as indicated by the degree of risk noted during the assessment process. 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sends a referral to seek specialist service provider assistance. Referrals are followed up on a regular basis by the GP.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and the hazard register is current. Policies and procedures specify labelling requirements in line with legislation including the requirement for labels to be clear, accessible to read and free from damage. Material safety data sheets are available throughout the facility and accessible for staff. Staff receive training and education to ensure safe and appropriate handling of waste and hazardous substances. Interviews with the household staff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personal protective clothing and equipment including; goggles/visors; gloves; aprons; footwear; and masks. During a tour of the facility, personal protective clothing and equipment was observed in areas where there were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with the date of expiry as 17 December 2017. There have been no building modifications since the last audit. There is evidence of areas being refurbished and painted in accordance with the maintenance plan. The service has a planned maintenance schedule implemented with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observation of the facility confirm there is adequate equipment including; pressure relieving mattresses; shower chairs; hoists and sensor alarm mats. </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providing privacy, when required. There are two courtyards and lawn areas with shade, seating and outdoor tables.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toilets/bathing facilities. Visitor’s toilets and residents toilets are located close to communal areas. All the toilets have a system that indicates if it is engaged or vacant.</w:t>
            </w:r>
          </w:p>
          <w:p w:rsidR="00EB7645" w:rsidRPr="00BE00C7" w:rsidP="00BE00C7">
            <w:pPr>
              <w:pStyle w:val="OutcomeDescription"/>
              <w:spacing w:before="120" w:after="120"/>
              <w:rPr>
                <w:rFonts w:cs="Arial"/>
                <w:b w:val="0"/>
                <w:lang w:eastAsia="en-NZ"/>
              </w:rPr>
            </w:pPr>
            <w:r w:rsidRPr="00BE00C7">
              <w:rPr>
                <w:rFonts w:cs="Arial"/>
                <w:b w:val="0"/>
                <w:lang w:eastAsia="en-NZ"/>
              </w:rPr>
              <w:t>All the residents’ toilets and bathing areas have handrails and other equipment/accessories to enhance and promote resident’s independence.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report that there are sufficient toilets and showers with some rooms in the rest home/hospital area having their own ensuite. Staff were observed to supporting residents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in all the bedrooms to allow residents and staff to safely move around in the room. Equipment was sighted in rooms requiring this, with sufficient space for both the equipment and at least two staff and the resident, for example; hoists and wheel chairs. The resident’s rooms are personalised with furnishings, photos and other personal belongings. Residents and families are encouraged to make the suite their own.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lounges and dining areas including areas that can be used for activities. All areas are easily accessed by residents and staff. Residents are able to access areas for privacy, when required. Furniture is appropriate to the setting and arranged in a manner which enables residents to mobilise freely. The dining areas have ample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service was contracted out November 2015 to the laundry site at Atawhai Rest Home and Village, which is its own business entity and meets the regulatory requirements for a commercial laundry. </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clean and dirty areas in the laundry with separate doors to take clean and dirty laundry in and out. Laundry staff are required to return linen to the rooms. The linen trolleys are clearly labelled to identify resident’s individual laundry and general laundry.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site during the day, seven days a week. The cleaners have a lockable cupboard to put chemicals in and the cleaners are aware that the trolley must be with them at all times. Cleaners were observed on the days of the audit keeping the cleaning trolley in sight. All chemicals are in appropriately labelled containers. Laundry chemicals are administered through a closed system which is managed by a chemical contractor company. Products are used with training around use of products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is approved by the New Zealand Fire Service. An evacuation policy on emergency and security situations is in place. A fire drill is provided to staff six monthly. The orientation programme includes fire and security training. Staff confirmed their awareness of emergency procedures. 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emergency lighting and gas BBQs. An electronic call bell system utilises a pager system. There are call bells in all resident rooms, resident toilets, and communal areas including the hallways and dining rooms. Call bell audits are routinely completed and residents and family state that there are prompt responses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External doors leading to the gardens and outside doors are locked after sunset. Staff complete a check in the evening that confirms that security measures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possible. Residents are provided with adequate natural light, safe ventilation, heating and an environment that is maintained at a safe and comfortable temperature. There is a designated external smoking area for residents. Family and residents confirm that rooms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policy and procedures provide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The delegation of IC matters is documented in policies, along with an infection control nurse’s (ICN) job description. The ICN position is assigned to a registered nurse. There is evidence of regular reports on infection related issues and these are communicated to staff and management. The IC programme is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access to relevant and current information, which is appropriate to the size and complexity of the service. There is evidence of communication with nurse specialists, microbiologist and consultants in respect of infection control matters. The IC is an agenda item at the facility’s meetings, evidenced during review of meeting minutes and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Implementation of the IC programme is monitored via internal audits that include review of procedural compliance, staff knowledge and training and IC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relevant to the service and reflect current accepted good practice and relevant legislative requirements. They are written in a user friendly format and contain appropriate level of information and are readily accessible to all personnel, confirmed at staff interviews. The IC policies and procedures are developed and reviewed regularly in consultation and input from relevant staff, and external specialists.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staff identify situations where IC education is required for a resident such as: hand hygiene; cough etiquette; and one on one education is conducted. The IC staff education is provided with the education sessions’ records of staff attendance/participation and content of the presentations. Staff are required to complete IC competencies, sighted in staff files and confirmed at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the CM and the ICN attending the Hawke’s Bay DHB IC information and support group meetings that include education sessions from clinical IC experts.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were diagnosed with an infection had short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clinical staff and management it was confirmed there had been an outbreak at the facility since last audit. Review of the outbreak documentation evidences:  consultation with the HBDHB infection prevention and control advisor; a microbiologist; residents and family were provided with information about the outbreak; and treatment approval letters asking for individual approval to be treated as per guidelines. Correct IC measures were conducted. Sentinel events notification was completed. Outbreak register was maintained. The IC meeting in June 2016 was held for debriefing of the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There were eight residents requesting the use of enablers and four residents using restraint on the days of the audit. The restraint and enabler use are documented in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(RMSP), enabler usage and prevention and/or de-escalation education and training is provided. The staff restraint competencies are current.</w:t>
            </w:r>
          </w:p>
          <w:p w:rsidR="00EB7645" w:rsidRPr="00BE00C7" w:rsidP="00BE00C7">
            <w:pPr>
              <w:pStyle w:val="OutcomeDescription"/>
              <w:spacing w:before="120" w:after="120"/>
              <w:rPr>
                <w:rFonts w:cs="Arial"/>
                <w:b w:val="0"/>
                <w:lang w:eastAsia="en-NZ"/>
              </w:rPr>
            </w:pPr>
            <w:r w:rsidRPr="00BE00C7">
              <w:rPr>
                <w:rFonts w:cs="Arial"/>
                <w:b w:val="0"/>
                <w:lang w:eastAsia="en-NZ"/>
              </w:rPr>
              <w:t>National restraint benchmarking and analysis is reviewed monthly by the clinical and quality managers and the results indicate there has been reduction in restraint used nationally due to use of low low beds and the use of perimeter mattress surrounds.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clinical and quality team are responsible for approving any form or type of restraint practice used at Oceania facilities nationally. Oversight of restraint use at each individual Oceania facility is the responsibility of restraint coordinators. The restraint coordinator (RC) is the clinical manager (RN). The responsibilities for this role are defined in the RC position description. </w:t>
            </w:r>
          </w:p>
          <w:p w:rsidR="00EB7645" w:rsidRPr="00BE00C7" w:rsidP="00BE00C7">
            <w:pPr>
              <w:pStyle w:val="OutcomeDescription"/>
              <w:spacing w:before="120" w:after="120"/>
              <w:rPr>
                <w:rFonts w:cs="Arial"/>
                <w:b w:val="0"/>
                <w:lang w:eastAsia="en-NZ"/>
              </w:rPr>
            </w:pPr>
            <w:r w:rsidRPr="00BE00C7">
              <w:rPr>
                <w:rFonts w:cs="Arial"/>
                <w:b w:val="0"/>
                <w:lang w:eastAsia="en-NZ"/>
              </w:rPr>
              <w:t>Restraints are authorised following a comprehensive assessment of the resident. The approval includes consultation with other members of the multidisciplinary team. The restraint consent forms evidence consent for restraint is obtained from the GP, the restraint coordinator and the resident and/or a family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 is completed prior to commencement of any restraint. The clinical files of residents using restraint evidence the restraint assessment authorisation and plans are in place. Restraint assessments evidence the restraint coordinator’s sign off and evidence all appropriate factors have been taken into consideration.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Protocols on safe use of restraint detail the processes of assessment, approval and implementation and these guide staff in the safe use of restraint. Strategies are implemented prior to the use of restraint to prevent the resident from incurring injury, for example, the use of low beds, mattresses and sensor mats. The policies that guide staff in the safe use of restraint document: the current approved forms of restraint; the indications for use; associated risks; safety precautions; and required authorisation, reporting and monitoring.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and education in restraint use includes appropriate orientation and ongoing education. Evidence of ongoing education regarding restraint and challenging behaviours is evident. Restraint competency testing of staff is included in the education of staff. There is mandatory training for staff in restraint and this includes completion of the workbook.</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up to date and records all necessary information to provide an auditable trail of restraint events.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are responsible for monitoring and completing restraint forms when the restraints are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restraint occurs through restraint event reporting by the facility to the Oceania support office by measuring relevant clinical key performance indicators. Each individual episode of restraint is evaluated. The clinical files of residents using restraint evidence the restraint evaluation forms are completed and these include all the relevant factors in this standard.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team meeting minutes evidence evaluation of each restraint use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resident (if able) and the family are involved in the evaluation of the restraints’ effectiveness and continuity. Documentation was sighted in the progress notes of the residents regarding restraint related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monitoring and quality review of the use of restraints at the facility. The restraint minimisation team meeting minute’s evidence review of the compliance with the standard and includes: individual resident’s restraint review; restraint register update; education review and any relevant restraint issues. Restraint use audits are conducted and include detailed review of residents’ clinical files of residents who use restraint.</w:t>
            </w:r>
          </w:p>
          <w:p w:rsidR="00EB7645" w:rsidRPr="00BE00C7" w:rsidP="00BE00C7">
            <w:pPr>
              <w:pStyle w:val="OutcomeDescription"/>
              <w:spacing w:before="120" w:after="120"/>
              <w:rPr>
                <w:rFonts w:cs="Arial"/>
                <w:b w:val="0"/>
                <w:lang w:eastAsia="en-NZ"/>
              </w:rPr>
            </w:pPr>
            <w:r w:rsidRPr="00BE00C7">
              <w:rPr>
                <w:rFonts w:cs="Arial"/>
                <w:b w:val="0"/>
                <w:lang w:eastAsia="en-NZ"/>
              </w:rPr>
              <w:t>Oceania national restraint authority group terms of reference are recorded. This group meet annually to review the compliance with the restraint standard and review of restraint use nationally. The last Oceania national restraint authority group meeting was conducted in February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5"/>
        <w:gridCol w:w="1280"/>
        <w:gridCol w:w="6988"/>
        <w:gridCol w:w="1592"/>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Hospital files reviewed evidenced evaluations were completed, however the documentation of the degree of response/progress to meeting a desired outcome was not consistently recorded. Review of three hospital files of residents requiring evaluation was conducted (the hospital tracer and one other resident’s file did not require evaluation as the admissions were within the last six months). Three additional hospital files were reviewed specifically in relation to evaluation of care indicating the degree of achievement to interventions and evidenced all six of six files did not have this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not evaluated in a comprehensive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care plans are evaluated in a comprehensive manner to indicate the degree of achievement to interventions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Gracelands Rest Home and Hospital</w:t>
    </w:r>
    <w:bookmarkEnd w:id="58"/>
    <w:r>
      <w:rPr>
        <w:rFonts w:cs="Arial"/>
        <w:sz w:val="16"/>
        <w:szCs w:val="20"/>
      </w:rPr>
      <w:tab/>
      <w:t xml:space="preserve">Date of Audit: </w:t>
    </w:r>
    <w:bookmarkStart w:id="59" w:name="AuditStartDate1"/>
    <w:r>
      <w:rPr>
        <w:rFonts w:cs="Arial"/>
        <w:sz w:val="16"/>
        <w:szCs w:val="20"/>
      </w:rPr>
      <w:t>29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