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Experion Care NZ Limited - Bardowie Retirement Complex</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Experion Care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Bardowie Retirement Complex</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May 2016</w:t>
      </w:r>
      <w:bookmarkEnd w:id="7"/>
      <w:r w:rsidRPr="009418D4">
        <w:rPr>
          <w:rFonts w:cs="Arial"/>
        </w:rPr>
        <w:tab/>
        <w:t xml:space="preserve">End date: </w:t>
      </w:r>
      <w:bookmarkStart w:id="8" w:name="AuditEndDate"/>
      <w:r w:rsidR="00A4268A">
        <w:rPr>
          <w:rFonts w:cs="Arial"/>
        </w:rPr>
        <w:t>24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Bardowie Retirement Complex is a 20 bed facility for rest home level of care residents. Both long-term and short stay respite care services are provided. The service was fully occupied at the time of audit. </w:t>
      </w:r>
    </w:p>
    <w:p w:rsidRPr="00A4268A">
      <w:pPr>
        <w:spacing w:before="240" w:line="276" w:lineRule="auto"/>
        <w:rPr>
          <w:rFonts w:eastAsia="Calibri"/>
        </w:rPr>
      </w:pPr>
      <w:r w:rsidRPr="00A4268A">
        <w:rPr>
          <w:rFonts w:eastAsia="Calibri"/>
        </w:rPr>
        <w:t xml:space="preserve">The audit was conducted against the Health and Disability Services Standards and the provider’s contract with the district health board. The audit process included the review of policies and procedures, the review of staff files, observations, interviews with residents, family/whānau, management, staff and a general practitioner.  </w:t>
      </w:r>
    </w:p>
    <w:p w:rsidRPr="00A4268A">
      <w:pPr>
        <w:spacing w:before="240" w:line="276" w:lineRule="auto"/>
        <w:rPr>
          <w:rFonts w:eastAsia="Calibri"/>
        </w:rPr>
      </w:pPr>
      <w:r w:rsidRPr="00A4268A">
        <w:rPr>
          <w:rFonts w:eastAsia="Calibri"/>
        </w:rPr>
        <w:t xml:space="preserve">There are four areas for improvement in relation to evidencing analysis and evaluation of the quality data, electrical safety inspections, charting of medications and care planning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residents receive services that respect their rights and are not subject to abuse, neglect or discrimination. The staff demonstrated knowledge and awareness of their obligations of consumer rights legislation. All rooms are single occupancy and provide adequate privacy. </w:t>
      </w:r>
    </w:p>
    <w:p w:rsidRPr="00A4268A">
      <w:pPr>
        <w:spacing w:before="240" w:line="276" w:lineRule="auto"/>
        <w:rPr>
          <w:rFonts w:eastAsia="Calibri"/>
        </w:rPr>
      </w:pPr>
      <w:r w:rsidRPr="00A4268A">
        <w:rPr>
          <w:rFonts w:eastAsia="Calibri"/>
        </w:rPr>
        <w:t xml:space="preserve">There are appropriate processes implemented to ensure residents who identify as Maori, or any other culture, have their individual beliefs respected and acknowledged. If required, the service can access an interpreter. </w:t>
      </w:r>
    </w:p>
    <w:p w:rsidRPr="00A4268A">
      <w:pPr>
        <w:spacing w:before="240" w:line="276" w:lineRule="auto"/>
        <w:rPr>
          <w:rFonts w:eastAsia="Calibri"/>
        </w:rPr>
      </w:pPr>
      <w:r w:rsidRPr="00A4268A">
        <w:rPr>
          <w:rFonts w:eastAsia="Calibri"/>
        </w:rPr>
        <w:t>The service provides an environment that encourages good practice, which includes evidence-based practice.</w:t>
      </w:r>
    </w:p>
    <w:p w:rsidRPr="00A4268A">
      <w:pPr>
        <w:spacing w:before="240" w:line="276" w:lineRule="auto"/>
        <w:rPr>
          <w:rFonts w:eastAsia="Calibri"/>
        </w:rPr>
      </w:pPr>
      <w:r w:rsidRPr="00A4268A">
        <w:rPr>
          <w:rFonts w:eastAsia="Calibri"/>
        </w:rPr>
        <w:t xml:space="preserve">Residents and families receive full and frank information and open disclosure from staff. The resident, their families or enduring power of attorneys (EPOAs) are involved in the care planning, decision making and consent processes. Where there is an advance directive, the staff act on those decisions. </w:t>
      </w:r>
    </w:p>
    <w:p w:rsidRPr="00A4268A">
      <w:pPr>
        <w:spacing w:before="240" w:line="276" w:lineRule="auto"/>
        <w:rPr>
          <w:rFonts w:eastAsia="Calibri"/>
        </w:rPr>
      </w:pPr>
      <w:r w:rsidRPr="00A4268A">
        <w:rPr>
          <w:rFonts w:eastAsia="Calibri"/>
        </w:rPr>
        <w:t xml:space="preserve">There are no set visiting hours and residents have access to visitors of their choice. All visitors commented on the welcoming nature of the service.  </w:t>
      </w:r>
    </w:p>
    <w:p w:rsidRPr="00A4268A">
      <w:pPr>
        <w:spacing w:before="240" w:line="276" w:lineRule="auto"/>
        <w:rPr>
          <w:rFonts w:eastAsia="Calibri"/>
        </w:rPr>
      </w:pPr>
      <w:r w:rsidRPr="00A4268A">
        <w:rPr>
          <w:rFonts w:eastAsia="Calibri"/>
        </w:rPr>
        <w:t>The service has a documented complaints management system which was implemented. There are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mission statement, vision, goals and philosophy identifies the organisation’s mission statement, vision and philosophy. The business plan is linked to the quality and risk management systems. </w:t>
      </w:r>
    </w:p>
    <w:p w:rsidRPr="00A4268A">
      <w:pPr>
        <w:spacing w:before="240" w:line="276" w:lineRule="auto"/>
        <w:rPr>
          <w:rFonts w:eastAsia="Calibri"/>
        </w:rPr>
      </w:pPr>
      <w:r w:rsidRPr="00A4268A">
        <w:rPr>
          <w:rFonts w:eastAsia="Calibri"/>
        </w:rPr>
        <w:t xml:space="preserve">The quality and risk system and processes support safe service delivery and include management of corrective actions. The quality management system includes identification of hazards, staff education and training, an internal audit process, complaints management, data reporting of incidents/accidents and infections. There is an improvement required in the analysis and evaluation of the quality data. The day to day operation of the facility is undertaken by clinical staff who are appropriately experienced and/or qualified. This allows residents' needs to be met in a safe and efficient manner. </w:t>
      </w:r>
    </w:p>
    <w:p w:rsidRPr="00A4268A">
      <w:pPr>
        <w:spacing w:before="240" w:line="276" w:lineRule="auto"/>
        <w:rPr>
          <w:rFonts w:eastAsia="Calibri"/>
        </w:rPr>
      </w:pPr>
      <w:r w:rsidRPr="00A4268A">
        <w:rPr>
          <w:rFonts w:eastAsia="Calibri"/>
        </w:rPr>
        <w:t xml:space="preserve">Policies and procedures are reviewed on an annual cycle or as sooner if there are legislative or best practice changes. </w:t>
      </w:r>
    </w:p>
    <w:p w:rsidRPr="00A4268A">
      <w:pPr>
        <w:spacing w:before="240" w:line="276" w:lineRule="auto"/>
        <w:rPr>
          <w:rFonts w:eastAsia="Calibri"/>
        </w:rPr>
      </w:pPr>
      <w:r w:rsidRPr="00A4268A">
        <w:rPr>
          <w:rFonts w:eastAsia="Calibri"/>
        </w:rPr>
        <w:t xml:space="preserve">The service implements the documented staffing levels and skill mix. The rosters record that there are adequate staff each shift to comply with contractual requirements. Human resources management and education processes are implemented and identify good practice is observed. </w:t>
      </w:r>
    </w:p>
    <w:p w:rsidRPr="00A4268A">
      <w:pPr>
        <w:spacing w:before="240" w:line="276" w:lineRule="auto"/>
        <w:rPr>
          <w:rFonts w:eastAsia="Calibri"/>
        </w:rPr>
      </w:pPr>
      <w:r w:rsidRPr="00A4268A">
        <w:rPr>
          <w:rFonts w:eastAsia="Calibri"/>
        </w:rPr>
        <w:t>Resident information is uniquely identifiable, accurately recorded and securely stored. Information of a private or personal nature is maintained in a secure manner that is not publicly accessible or observable.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Care plans are consistently developed and evaluated for all residents. Long and short term care plans are insufficiently detailed.</w:t>
      </w:r>
    </w:p>
    <w:p w:rsidRPr="00A4268A" w:rsidP="00621629">
      <w:pPr>
        <w:spacing w:before="240" w:line="276" w:lineRule="auto"/>
        <w:rPr>
          <w:rFonts w:eastAsia="Calibri"/>
        </w:rPr>
      </w:pPr>
      <w:r w:rsidRPr="00A4268A">
        <w:rPr>
          <w:rFonts w:eastAsia="Calibri"/>
        </w:rPr>
        <w:t>Planned activities are appropriate to the needs, age and culture of the residents. Residents reported that activities are enjoyable and meaningful to them.</w:t>
      </w:r>
    </w:p>
    <w:p w:rsidRPr="00A4268A" w:rsidP="00621629">
      <w:pPr>
        <w:spacing w:before="240" w:line="276" w:lineRule="auto"/>
        <w:rPr>
          <w:rFonts w:eastAsia="Calibri"/>
        </w:rPr>
      </w:pPr>
      <w:r w:rsidRPr="00A4268A">
        <w:rPr>
          <w:rFonts w:eastAsia="Calibri"/>
        </w:rPr>
        <w:t xml:space="preserve">The medicine management system does not consistently meet the required regulations and guidelines. Improvement is required in relation to “as required” medications. </w:t>
      </w:r>
    </w:p>
    <w:p w:rsidRPr="00A4268A" w:rsidP="00621629">
      <w:pPr>
        <w:spacing w:before="240" w:line="276" w:lineRule="auto"/>
        <w:rPr>
          <w:rFonts w:eastAsia="Calibri"/>
        </w:rPr>
      </w:pPr>
      <w:r w:rsidRPr="00A4268A">
        <w:rPr>
          <w:rFonts w:eastAsia="Calibri"/>
        </w:rPr>
        <w:t>Food services meet the individual food, fluids and nutritional needs of the residents.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Services are provided in a clean, safe, secure environment that is appropriate to rest home level of care. There are appropriate amenities to meet residents’ needs and to facilitate independence. Residents, visitors and staff are protected from harm as a result of exposure to waste, infectious or hazardous substances generated during service delivery. There are adequate toilets, showers, and bathing facilities. There are appropriate cleaning and laundry services provided onsite.</w:t>
      </w:r>
    </w:p>
    <w:p w:rsidRPr="00A4268A">
      <w:pPr>
        <w:spacing w:before="240" w:line="276" w:lineRule="auto"/>
        <w:rPr>
          <w:rFonts w:eastAsia="Calibri"/>
        </w:rPr>
      </w:pPr>
      <w:r w:rsidRPr="00A4268A">
        <w:rPr>
          <w:rFonts w:eastAsia="Calibri"/>
        </w:rPr>
        <w:t xml:space="preserve">Documentation identifies that all processes are maintained to meet the requirements of the building warrant of fitness. Planned and reactive maintenance is documented. Systems are in place for essential, emergency and security services, including a disaster and emergency management plan. </w:t>
      </w:r>
    </w:p>
    <w:p w:rsidRPr="00A4268A">
      <w:pPr>
        <w:spacing w:before="240" w:line="276" w:lineRule="auto"/>
        <w:rPr>
          <w:rFonts w:eastAsia="Calibri"/>
        </w:rPr>
      </w:pPr>
      <w:r w:rsidRPr="00A4268A">
        <w:rPr>
          <w:rFonts w:eastAsia="Calibri"/>
        </w:rPr>
        <w:t>All residents have access to outdoor areas with shaded areas.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and comprehensive policies and procedures which meet the requirements of the restraint minimisation and safe practice standard. There are established systems and practices. There are no residents using restraints. Staff have demonstrated good knowledge on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risk of infection to residents, staff and visitors. The type of surveillance is appropriate to the size and complexity of the service. Infection rate data is collected, recorded, analysed and reported. Recommendations to reduce infection rates are discussed. The infection control coordinator is responsible for implementing and evaluating the infection prevention and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94"/>
        <w:gridCol w:w="1280"/>
        <w:gridCol w:w="87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staff demonstrate understanding of consumer rights and their obligations in relation to this. At staff orientation and at ongoing in-service education, the Health and Disability Commissioner's (HDC) Code of Health and Disability Services Consumers' Rights (the Code) is covered. The staff files confirmed that staff sign to record that they have received of copy of, and understand, the Code. Staff were observed to be respecting resident’s rights, such as knocking on bedroom doors and asking permission before entering, ensuring privacy locks are engaged when conducting personal cares, asking permission prior to assisting with care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had signed consent forms, either signed by the resident or their next of kin/enduring power of attorney (EPOA). The files contained copies of any advance care planning and the resident’s wishes for end of life care. Staff acknowledged the resident's right to make choices based on information presented to them, including the resident’s right to withdraw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that they were provided with information regarding access to advocacy services. Contact details for the Nationwide Health and Disability Advocacy Service is listed in the resident information materials. Education on advocacy and support is conducted as part of the in-service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visitors are encouraged to visit. The residents and families reported that they feel very welcomed to visit. Residents are supported and encouraged to access community services with visitors. Some residents attend activities in the community, such as at Aged Concern and the RSA.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sighted complaints policy and process complies with Right 10 of the Code. Complaints management is explained as part of the admission process and is included in the information given to new residents and family/whānau. Complaints management is included in new staff orientation and ongoing in-service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confirmed that the nurse manager’s open door policy makes it easy to discuss concerns at any time. Complaints forms are available and on display in the reception area. The complaints register contains a summary of all complaints, dates and actions taken. The complaints sampled from 2015 (there are no complaints to date in 2016) are accurately recorded in the complaints register and satisfactory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discussed with residents and family members at the time of admission. The information on the Code and Advocacy services is provided as part of the admission processes and reinforced at resident meetings. Information is displayed about the Code and Nationwide Health and Disability Advocacy Service. The residents and families reported no concerns about the staff not respecting the resident’s rights. The residents and families expressed high praise for the manner in which staff work and treat the residents with respect and dignity.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occupancy to provide physical, visual, auditory, and personal privacy of the residents and their belongings. The files reviewed reflected that care is provided that is responsive to the individual cultural and spiritual needs of each resident. The services are planned so the residents can maintain as much independence as possible. The residents and families reported satisfaction with the care provided and have no concerns about abuse or neglect. Staff demonstrated knowledge on identifying any suspected abuse and know who to report to if they suspect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identify as Māori have their individual needs met, as confirmed at interview with a resident and two whanau. The nurse manager reported that there were no known barriers to residents who identify as Māori accessing the service. There is a Maori Health Plan to assist in the guidance of Tikanga. The staff demonstrated knowledge of the importance of whanau in the care and support of residents who identify as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cultural values and beliefs are recorded in the care plans. All files evidence the care was developed in consultation with the resident, and where appropriate, family. Residents and families reported that the service meets the individual needs of residents. Staff demonstrated knowledge in respecting and meeting the individual cultural needs, values and beliefs of each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individual employment contracts, house rules and in-service education have information on professional boundaries. The orientation and induction programme includes staff education on maintaining professional boundaries. The staff demonstrated knowledge on maintaining professional boundaries and refraining from acts or behaviours which could benefit themselves at the expense or well-being of the residents and families. The residents and families report they have no concerns about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promoting and encouraging good practice. Examples included policies and procedures that are linked to evidence-based practice, regular visits by the GP, links with the local mental health services and palliative care services. The nurse manager has access to monitoring and specialists through the district health board (DHB), and attends the education/mentoring supports provided on a three monthly basis. There is regular in-service education and staff access external education that is focused on aged care and best practice. This included pressure area prevention in February and May 2016. Staff reported that they were satisfied with the relevance of the education provided. The residents and families expressed high satisfaction with the quality of care provided and services delivered.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are notified of any adverse, unplanned or untoward events, with this recorded on incident and accident forms sighted and in resident file reviews. Families reported they are kept ‘well informed’ of any concerns the staff may have or of any adverse events related to their relatives. Open disclosure is observed at the time of audit after an incident/fall has occurred.</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including through the use of interpreter services if required. Staff education has been provided related to appropriate communication methods, as confirmed in the in-service education records. All residents can effectively communicate in English and the service has not required access to interpreting services for the residents. Policies and procedures are in place if the interpreter services are needed to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Bardowie was purchased in 2015 by Experion Care NZ Ltd. The facility provides services under contract from the District Health Board for Aged Related Residential Care, Long Term Support, Mental Health and, Respite Care and Day Care Services. All services provide are rest home level of care. At the time of audit there were two residents under the age of 65. The board of directors and nurse manager ensures services are planned, coordinated, and appropriate to the needs of the rest home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for 2015-2016 documents the purpose, values, scope, direction, and goals of the organisation. The business plan is linked to the quality and risk management plan (dated 12 November 2015). The business plan contains an analysis of strengths, weaknesses, opportunities and threats to service delivery and management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nurse manager (Registered Nurse), who is also a director of Experion Care NZ Ltd. The nurse manager has been in the current role for two and a half years and has over 25 years’ experience in aged care and over 19 years’ experience in aged care management. The nurse manager’s position description describes the role, responsibilities and authorities for the day to day management of the service. The nurse manager has attended more than eight hours’ education in the past 12 months related to management of aged care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temporary absence of the nurse manager, the assistant manager (a caregiver with over 20 years’ experience) takes on the management role. There is a relief registered nurse who then provides the nursing coverage during the nurse manager’s absence.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plan in place (dated November 2015) which covers all aspects of service delivery. The staff confirmed understanding of the quality and risk management systems. The quality and risk management plan is monitored through the collection of data related to incidents/accidents, infections, internal audits and feedback from residents, family and staff (though satisfaction surveys and complaints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includes quality data collection to identify any areas of deficit which are addressed using corrective action processes. Corrective actions sighted related to internal audits, complaints, environmental issues, care planning, and identified risks. All findings are shared with the directors and the results are tabled with staff at monthly staff meetings as identified in minutes sighted. The results of satisfaction surveys are also communicated to residents and families at meetings. Though the quality data information is used to inform the ongoing improvement and planning of services, there is limited analysis and evaluation of the quality data (refer to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reviewed on an annual basis, or when there are changes to best practice or legislative requirements. The policies sighted are current. The service is also in the process of updating their policies and procedures, which are developed by an aged care consultant. Any changes or newly introduced policies are shared with staff at the monthly staff meetings. The management and staff demonstrate knowledge of implementation of any updated or new policies.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hazard register records actions put in place to minimise or eliminate risks. Newly found hazards are communicated to staff and residents.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understood their obligations in relation to essential notification reporting and knows which regulatory bodies must be notified as identified in policy. The pressure injury policy is being reviewed to ensure the essential notification of stage 3 and above pressure injuries and are included in the essential notification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document adverse, unplanned, or untoward events on the incident and accident form. There is a monthly summary of the adverse events, with any shortfalls that are identified used to improve service delivery. If there is an ongoing risk as a result of an incident/accident, actions are implemented to minimise the risk of reoccurrence.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 good employment practices that meet the requirements of legislation. Newly appointed staff are police vetted upon employment, referees are checked and job descriptions clearly describe staff responsibilities. Staff complete an orientation/induction programme with specific competencies for their roles, such as medication management, as confirmed during staff file reviews and staff interviews. The nurse manager (RN) has received interRAI training and ongoing competence in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and online care resources/training meet the education requirements for an aged care service. There is ongoing education provided related to resident rights, aging processes, specific diseases, health and safety, infection control, staff competencies and restraint minimisation. Education records sighted identify attendance sheets are maintained for the on-site education and off-site seminars and training days. Staff report satisfaction in the training provided and the training is conducted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families interviewed and the 2015 satisfaction survey results identified that residents’ needs are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at Bardowie is a registered nurse and is employed to work 40 hours per week, from Monday to Friday. The second in charge and team leader (is also a senior caregiver) works 32 hours per week, Monday to Thursday. During the weekend there is a senior caregiver on morning shift, whose role is that of the team leader and they are responsible to the nurse manager. There is at least one senior caregiver on duty at all times. All senior care staff are required to have a current first aid qualification. At the busiest times in the morning and afternoons there is more than one caregiver on duty. There is a registered nurse on call after hours, this is shared with the nurse manager and two other relief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numbers of cooking, cleaning, laundry and activities staff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identify that information is managed in an accurate and timely manner. Health information is kept in secure areas at the staff office and is not accessible or observable to the public. Electronic records have secure log on and are password protected. Entries into the progress notes record the staff member’s name and designation. The residents’ files evidenced that all records pertaining to individual residents are integrated.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 All residents’ files evidenced completed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the service policy includes procedures to be followed when a resident is admitted. Admission agreements are signed by the residents or by their families as evidenced in all sampled resident records. Residents and families reported that the admission agreements are discussed with them in detail by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 appropriate needs assessments prior to admission.  An information pack is provided for potential residents and their families. The nurse manager ensured that residents are admitted in accordance with contractual requirements.  All enquiries are recorded in the enquiry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is used when residents are required to be transferred to the public hospital or to another service. The nurse manager said that telephone handovers are conducted for all transfers to other services. The resident and their families are involved for all exit or discharges to and from the service. This was confirmed in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not consistently implemented to ensure that the residents receive medicines in a safe and timely manner.  Medication charts are legible and photos are present in the cover. Medication charts are reviewed regularly. All discontinued medications are signed for and dated by the GP. Allergies are well-documented. The controlled drugs register is current. Weekly stocktakes are conducted by the NM.</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 is monitored and the temperature is recorded daily.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reconciliation was conducted by the nurse manager when a resident was discharged back to the service. There are no expired or unwanted medications. A system is in place when returning expired or unwanted medications.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complied with the medication administration policies and procedures as evidenced in the observed medication round. Current medication competencies are evidenced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their medications, however there are self-administration policies and procedures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 is required in relation to documenting indications for the “as required”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A system is in place when receiving deliveries. All meals are prepared and cooked onsite. There are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There is evidence that the nurse manager completed the dietary requirement forms on admission and provided a copy to the cook.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Any variance is addressed immediately by the nurse manager. Cooked meals are plated from the kitchen to the dining area. The meals are well-presented and residents confirmed they are provided with alternative meals requested. All residents are weighed regularly and there is no evidence of significant weight changes in the reviewed resident’s files. Residents with significant weight changes are provided with food supplements and fortified foods.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have safe food practices. A kitchen cleaning schedule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the service. A declined resident is referred back to the referrer to ensure that the resident is admitted to the appropriate level of care. Declined residents were also provided with list of nearby facilities who offer the appropriate level of care. The nurse manager reported that the district health board needs assessors, social workers and families contact the nurse manager to discuss the suitability of the resident prior sending the resident’s family to view the facility. The reason for decline was documented in the decline to entry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used standardised risk assessment tools on admission. The assessment information is the basis for developing the resident’s initial plan of care and the long term care plan. Pain assessments and monitoring are in place. Resident’s pain levels and the effectiveness of the administered medications are documented. New residents are admitted using the interRAI assessment tool which is completed within the required time frame. The trends identified during the assessment are used as the focus of the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required assessments are sighted in all sampled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resident-focused and personalised. Goals are specific and measurable.  Residents and families are involved in the development of long term care plans as evident in the reviewed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when acute conditions are identified. Staff are informed about changes in the resident’s status through the hand overs and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Continuity of service delivery is maintained through the use of integrated resident’s records and shift hand 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and short term care plans are developed by the nurse manager. The triggers that are generated in the interRAI assessments are the focus of the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 is required regarding documented interventions in the long term care plans to address the desired goals/outcomes identified during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 activities coordinator (AC) developed the activity plans using the resident’s profile gathered during the interview with the resident and their families. The weekly activities are posted in different areas within the facility.  Activity plans are well-documented and reflected the resident’s preferred activities and interests. A participation log was maintained. The AC referred the residents to the nurse manager when significant changes are noted regarding involvement in the activities that may require further investigation. Interviewed residents and families said that the activities provided by the service are adequate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developed and evaluated by the nurse manager. Changes to the long term care plans are evident in the reviewed resident’s files when the desired outcomes are not met. Short term care plans evidence resident’s response after completing treatment regime.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referral of residents. There was evidence of referrals by the GP to other specialist services.  Residents and the families are kept informed of the referrals made by the service. This was evident in the communication register. Resident requested and other allied health referrals are facilitated by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storage and disposal of waste complies with the local requirements. General rubbish management is undertaken through local council services. Clinical waste, such as sharps bins are stored securely and disposed of through a contracted service. There is appropriate personal protective equipment and clothing accessible in the cleaning, laundry and clinical areas. Staff demonstrated knowledge in the management of waste and the use of personal protective equipment. Staff have received training on the use of personal protective equipment, management of waste and chemical use as part of the in-service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electrical equipment evidences a current safety inspection.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promotes safe mobility by use of hand rails in the corridors and on the external steps and ramps. There is a ramp from the lounge to the external areas. The floor surfaces are intact and do not have broken surfaces or trip hazards. Residents are observed to be mobilising safely, with and without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monitoring of the hot water temperatures in resident areas, these are within the required guidelines. There is a planned maintenance schedule and a maintenance book that records other items that need repair/maintenance as they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provided with safe and accessible external areas that meet their needs. The main courtyard area has seating and shaded areas. The courtyard is accessible from the lounge and corridor.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room has an ensuite toilet and hand basin. There are other toilets available in the communal areas. There are adequate numbers of showers located in each of the wings of the services. One shower room is currently under renovation at the time of audit, but there is still a sufficient number of showers in working order to meet the needs of the residents. One bathroom has a bath. It was noted that a supply of towels and face washers are stored on shelves in the communal showers, this was addressed at the time of audit. The surfaces in all other shower rooms sighted have unbroken surfaces for ease of cleaning, with cleaning schedules to maintain good infection control processes. The residents reported satisfaction with the availability of showering/bathing amenities.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occupancy and have sufficient space for the resident to move safely around their room with and without mobility aids. The residents and staff report satisfaction with the space in each of the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lounge/sitting areas and one dining room. These rooms are separated from each other so activities in one area do not impact on the activities in other areas. The resident’s rooms and external seating areas also provide adequate space for residents and their visitors. The residents and families report satisfaction with space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and storage room have adequate space for the safe storage of cleaning equipment and chemicals with locks to provide secure storage. The chemicals in the laundry are supplied using automatic dispensing systems. The chemicals are decanted into bottles that have the manufactures labels with all required safety instructions. Safety data sheets are available for all chemicals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processes are monitored monthly through environmental checklist and in annual satisfaction surveys. The resident’s surveys and residents interviewed at the time of audit express satisfaction with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approved evacuation scheme was sighted. Trial evacuations are conducted six monthly, with the last one conducted on 21 April 2016.  Staff receive appropriate information, training, and equipment to respond to identified emergency and security situations. The building is fitted with fire sprinklers, an indicator panel and has adequate fire equipment. Fire suppression systems are maintained and inspected monthly by the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and disaster management plan. The service has a civil defence kit, first aid kits and outbreak supplies. The service has adequate food and water for a minimum of three days. There are alternative energy and utility sources available in the event of the main supplies failing. There are adequate torches, blankets and gas for cooking in the case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all resident areas. There is an audible alert and a light above the room where the call bell is activated. The residents and families report a timely response to the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kept at a suitable temperature throughout the year by electric heating and the opening of doors or windows for ventilation. This was confirmed during resident and family/whānau interviews. All resident areas have at least one opening window to provide adequate natural light and ventilation.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for infection control are clearly defined. The nurse manager is the infection control coordinator and is responsible for collecting infection control data. The service utilised the support of the infection control specialist from the district health board for infection prevention and management issues. The infection control coordinator has attended regular infection control updates.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Infection prevention and control is included in the monthly staff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families and relatives are encouraged not to visit when they are unwell. There are hand sanitizers in the common areas and along the corridors. There are adequate hand basins for the residents and staff to use.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readily available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facilitating infection prevention and control activities in the facility. Infections are discussed in the monthly staff meetings and during hand overs. The infection control coordinator is responsible for implementing and evaluating the infection control programme of the service. The GP reported that the nurse manager contacts the medical centre when residents manifested suspected infections. The infection control specialist from the district health board provided advice to the infection control coordinator regarding infection control prevention and management. Interviewed staff are knowledgeable regarding outbreak management and breaking the chain of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the prevention and control of infection. Policies aligned with current accepted good practice and relevant legislative requirements. Policies are readily available and procedures are practical, safe, and suitable for the type of service provided. The service consistently implemented the policies and procedures and best practice. Staff demonstrated good knowledge on infection prevention and control. Interviewed residents are able to explain the importance of hand-washing.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prevention and management policies and procedures are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and prevention education is provided to staff as a component of their ongoing education programme. Residents and families are provided with advice on infection prevention and control activities. Staff demonstrated good knowledge in infection prevention and control measures.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demonstrated good knowledge of current practice in infection prevention and control as well as outbreak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rates is carried out in accordance with agreed objectives, priorities, and methods specified in the infection control programme. It is appropriate to the size and setting of the service. Infection rates are monitored. Data are collated and analysed by the infection control coordinator. Infection rates are discussed during the staff meetings. The specific recommendations and interventions to reduce, manage and prevent the spread of infections are discussed in staff meetings and daily hand overs. The use of antibiotics was monitored and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are no residents using restraints or enablers. The policies and procedures have good definitions of restraints and enablers. Staff demonstrated good knowledge about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4"/>
        <w:gridCol w:w="1280"/>
        <w:gridCol w:w="5912"/>
        <w:gridCol w:w="2659"/>
        <w:gridCol w:w="1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improvement data (such as incidents/accidents, internal audit results, satisfaction surveys) is collected each month. There is a summary of the numbers and types of incidents and the results of internal audits and surveys, though there is limited evidence of analysis and evaluations of the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results of the quality data are communicated to staff, residents and families at meetings. This is confirmed in interviews and review of staff, resident and family meeting minutes.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data does not consistently evidence analysis and evaluation.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quality data is consistently analysed and evaluated.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out of 10 “as required” medications have no documented indications on when to administer these medications to the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not recorded to a detail to comply with legislation and guidelines. The nurse manager reported that “as required” medications are not frequently administered by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 required” medications have documented indications to provide guidance to staff administering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by the nurse manager. The interventions in both long and short term care plans are insufficiently detailed to address the desired goals/outcomes.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insufficiently detailed to address the desired goals/outcomes.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interventions in both long and short term care plans are sufficiently detailed to address the desired goals/outcomes.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Some equipment sighted (vacuum cleaner) did not have an electrical safety test and tag evidenced. Other electrical equipment (such as a TV, video recorder, clothes drier) were last tested in February 2014, with the next due date recorded as required in February 2015. Other equipment, such as a power board in the lounge room, had a test and tag label, though this is not dated. The washing machine and hoist evidenced a current electrical safety tag.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electrical equipment evidences a current test and tag safety inspection.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electrical equipment evidences a current safety inspection as per electrical safety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Experion Care NZ Limited - Bardowie Retirement Complex</w:t>
    </w:r>
    <w:bookmarkEnd w:id="58"/>
    <w:r>
      <w:rPr>
        <w:rFonts w:cs="Arial"/>
        <w:sz w:val="16"/>
        <w:szCs w:val="20"/>
      </w:rPr>
      <w:tab/>
      <w:t xml:space="preserve">Date of Audit: </w:t>
    </w:r>
    <w:bookmarkStart w:id="59" w:name="AuditStartDate1"/>
    <w:r>
      <w:rPr>
        <w:rFonts w:cs="Arial"/>
        <w:sz w:val="16"/>
        <w:szCs w:val="20"/>
      </w:rPr>
      <w:t>23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