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Masonic Court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Masonic Court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June 2016</w:t>
      </w:r>
      <w:bookmarkEnd w:id="7"/>
      <w:r w:rsidRPr="009418D4">
        <w:rPr>
          <w:rFonts w:cs="Arial"/>
        </w:rPr>
        <w:tab/>
        <w:t xml:space="preserve">End date: </w:t>
      </w:r>
      <w:bookmarkStart w:id="8" w:name="AuditEndDate"/>
      <w:r w:rsidR="00A4268A">
        <w:rPr>
          <w:rFonts w:cs="Arial"/>
        </w:rPr>
        <w:t>24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Masonic Rest Home and Hospital provides residential care for up to 49 residents who require rest home and hospital level care. The facility is operated by Masonic Care Limited.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review of policies and procedures, review of residents’ and staff files, observations and interviews with residents, family, management, staff, a general practitioner and allied health professionals.</w:t>
      </w:r>
    </w:p>
    <w:p w:rsidRPr="00A4268A">
      <w:pPr>
        <w:spacing w:before="240" w:line="276" w:lineRule="auto"/>
        <w:rPr>
          <w:rFonts w:eastAsia="Calibri"/>
        </w:rPr>
      </w:pPr>
      <w:r w:rsidRPr="00A4268A">
        <w:rPr>
          <w:rFonts w:eastAsia="Calibri"/>
        </w:rPr>
        <w:t>There are 10 areas identified that require improvement relating to: analysis of quality data and reporting back to staff; corrective action plans not consistently developed and where they are, no follow up as to the effectiveness; no hazard register that documents actual risks; not all staff have current performance appraisals completed and no evidence of police vetting; short term care plan interventions and residents progress towards meeting their goals are not consistently documented; short term care plans are not developed to reflect acute changes in resident’s health status; and no preventative maintenance programme is available. There are external areas including doors and weather boards that have dry rot and the majority of windows have putty missing around the edges; restraint evaluations are brief and do not meet the standard required; infection surveillance is not integrated across the facility and there is limited analysis of some surveillance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Services are provided in a manner that respects and promotes the independence, personal privacy, individual needs and dignity of residents. Staff receive regular training on residents’ rights and incorporate these into their daily practice. </w:t>
      </w:r>
    </w:p>
    <w:p w:rsidRPr="00A4268A">
      <w:pPr>
        <w:spacing w:before="240" w:line="276" w:lineRule="auto"/>
        <w:rPr>
          <w:rFonts w:eastAsia="Calibri"/>
        </w:rPr>
      </w:pPr>
      <w:r w:rsidRPr="00A4268A">
        <w:rPr>
          <w:rFonts w:eastAsia="Calibri"/>
        </w:rPr>
        <w:t>A range of clinical policies, reflecting best practice, guide service delivery. Residents and their families reported their satisfaction with the services provided, and of the open communication with staff.</w:t>
      </w:r>
    </w:p>
    <w:p w:rsidRPr="00A4268A">
      <w:pPr>
        <w:spacing w:before="240" w:line="276" w:lineRule="auto"/>
        <w:rPr>
          <w:rFonts w:eastAsia="Calibri"/>
        </w:rPr>
      </w:pPr>
      <w:r w:rsidRPr="00A4268A">
        <w:rPr>
          <w:rFonts w:eastAsia="Calibri"/>
        </w:rPr>
        <w:t>The nurse manager is responsible for the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plan and a quality and risk management plan that documents scope, direction, goals, values, and a mission statement is in place. There is regular reporting by the nurse manager to the chief executive officer (CEO) of the board.</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nurse manager is supported by a care manager/registered nurse, an acting team leader/registered nurse and a management assistant/registered nurse. </w:t>
      </w:r>
    </w:p>
    <w:p w:rsidRPr="00A4268A">
      <w:pPr>
        <w:spacing w:before="240" w:line="276" w:lineRule="auto"/>
        <w:rPr>
          <w:rFonts w:eastAsia="Calibri"/>
        </w:rPr>
      </w:pPr>
      <w:r w:rsidRPr="00A4268A">
        <w:rPr>
          <w:rFonts w:eastAsia="Calibri"/>
        </w:rPr>
        <w:t>There is an internal audit programme. Quality data is collected and collated and graphs are generated. Adverse events are documented on accident/incident forms. Corrective action plans are being developed, mainly following deficits identified in quality and staff meetings.  There are various meetings held and there is reporting of the numbers of clinical indicators for each month. Meeting minutes are available for staff to read.</w:t>
      </w:r>
    </w:p>
    <w:p w:rsidRPr="00A4268A">
      <w:pPr>
        <w:spacing w:before="240" w:line="276" w:lineRule="auto"/>
        <w:rPr>
          <w:rFonts w:eastAsia="Calibri"/>
        </w:rPr>
      </w:pPr>
      <w:r w:rsidRPr="00A4268A">
        <w:rPr>
          <w:rFonts w:eastAsia="Calibri"/>
        </w:rPr>
        <w:t>There are policies and procedures on human resources management and human resources processes are followed. There are current annual practising certificates for health professionals who require them.  An in-service education programme is provided for staff and attendance sheets are held on file.  Review of staff records evidenced individual education records are maintained.</w:t>
      </w:r>
    </w:p>
    <w:p w:rsidRPr="00A4268A">
      <w:pPr>
        <w:spacing w:before="240" w:line="276" w:lineRule="auto"/>
        <w:rPr>
          <w:rFonts w:eastAsia="Calibri"/>
        </w:rPr>
      </w:pPr>
      <w:r w:rsidRPr="00A4268A">
        <w:rPr>
          <w:rFonts w:eastAsia="Calibri"/>
        </w:rPr>
        <w:t xml:space="preserve">A documented rationale for determining staffing levels and the skill mix is in place and is based on best practice. The nurse manager, care manager and acting team leader are rostered on call after hours. Care staff reported there are adequate staff available and that they are able to get through their work. Residents and families reported there are enough staff on duty to provide adequate care. </w:t>
      </w:r>
    </w:p>
    <w:p w:rsidRPr="00A4268A">
      <w:pPr>
        <w:spacing w:before="240" w:line="276" w:lineRule="auto"/>
        <w:rPr>
          <w:rFonts w:eastAsia="Calibri"/>
        </w:rPr>
      </w:pPr>
      <w:r w:rsidRPr="00A4268A">
        <w:rPr>
          <w:rFonts w:eastAsia="Calibri"/>
        </w:rPr>
        <w:t xml:space="preserve">Resident information is managed appropriately.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hours each day to guide care delivery staff, with a senior registered nurse also available on call after hours. Continuity of care is promoted by updating residents’ progress notes each shift, verbal handovers at the start of each shift, and the use of ‘wing diaries’.  Residents are seen regularly by their doctor and referred promptly if their clinical needs change.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and include input from residents and families. </w:t>
      </w:r>
    </w:p>
    <w:p w:rsidRPr="00A4268A" w:rsidP="00621629">
      <w:pPr>
        <w:spacing w:before="240" w:line="276" w:lineRule="auto"/>
        <w:rPr>
          <w:rFonts w:eastAsia="Calibri"/>
        </w:rPr>
      </w:pPr>
      <w:r w:rsidRPr="00A4268A">
        <w:rPr>
          <w:rFonts w:eastAsia="Calibri"/>
        </w:rPr>
        <w:t xml:space="preserve">Medications are administered by registered nurses and senior caregivers, all of whom have been assessed as competent in medications management. Medication management is consistent with legislative and safe practice requirements.  </w:t>
      </w:r>
    </w:p>
    <w:p w:rsidRPr="00A4268A" w:rsidP="00621629">
      <w:pPr>
        <w:spacing w:before="240" w:line="276" w:lineRule="auto"/>
        <w:rPr>
          <w:rFonts w:eastAsia="Calibri"/>
        </w:rPr>
      </w:pPr>
      <w:r w:rsidRPr="00A4268A">
        <w:rPr>
          <w:rFonts w:eastAsia="Calibri"/>
        </w:rPr>
        <w:t xml:space="preserve">Food services staff have completed appropriate food safety qualifications and all aspects of this service are well managed.  The kitchen was well organised and maintained in a clean and hygienic manner. The individual food preferences and dietary needs of residents are respected and accommodated. There are two separate dining areas for residents. </w:t>
      </w:r>
    </w:p>
    <w:p w:rsidRPr="00A4268A" w:rsidP="00621629">
      <w:pPr>
        <w:spacing w:before="240" w:line="276" w:lineRule="auto"/>
        <w:rPr>
          <w:rFonts w:eastAsia="Calibri"/>
        </w:rPr>
      </w:pPr>
      <w:r w:rsidRPr="00A4268A">
        <w:rPr>
          <w:rFonts w:eastAsia="Calibri"/>
        </w:rPr>
        <w:t>Two experienced diversional therapists are responsible for the activity programme, which offers residents a variety of activities. There are regular outings in the facility van and residents are encouraged to maintain their links with the community.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There is reactive maintenance as a result of reported issues and checking of equipment, including electrical equipment. </w:t>
      </w:r>
    </w:p>
    <w:p w:rsidRPr="00A4268A">
      <w:pPr>
        <w:spacing w:before="240" w:line="276" w:lineRule="auto"/>
        <w:rPr>
          <w:rFonts w:eastAsia="Calibri"/>
        </w:rPr>
      </w:pPr>
      <w:r w:rsidRPr="00A4268A">
        <w:rPr>
          <w:rFonts w:eastAsia="Calibri"/>
        </w:rPr>
        <w:t xml:space="preserve">All bedrooms are single accommodation and some have wash hand basins and a toilet, with two bedrooms sharing a full ensuite. Residents' rooms have adequate personal space provided. Lounges, dining areas and alcoves are available. External areas are available for sitting and shading is provided.  </w:t>
      </w:r>
    </w:p>
    <w:p w:rsidRPr="00A4268A">
      <w:pPr>
        <w:spacing w:before="240" w:line="276" w:lineRule="auto"/>
        <w:rPr>
          <w:rFonts w:eastAsia="Calibri"/>
        </w:rPr>
      </w:pPr>
      <w:r w:rsidRPr="00A4268A">
        <w:rPr>
          <w:rFonts w:eastAsia="Calibri"/>
        </w:rPr>
        <w:t>There is an appropriate call bell system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laundry is washed on site. Cleaning and laundry systems are monitored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which meet the requirements of the restraint minimisation and safe practice standard. Residents were using restraint and enablers during the audit. Related staff education and competency assessments occurs at least annually. The restraint approval group forms part of the quality meetings. Regular quality reviews ensure compliance with policies and considers all aspects of restraint and enabler use. The restraint/enabler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is generally well managed. Staff receive ongoing training related to infection control and have access to an appropriate range of personal protective equipment.    </w:t>
      </w:r>
    </w:p>
    <w:p w:rsidRPr="00A4268A">
      <w:pPr>
        <w:spacing w:before="240" w:line="276" w:lineRule="auto"/>
        <w:rPr>
          <w:rFonts w:eastAsia="Calibri"/>
        </w:rPr>
      </w:pPr>
      <w:r w:rsidRPr="00A4268A">
        <w:rPr>
          <w:rFonts w:eastAsia="Calibri"/>
        </w:rPr>
        <w:t>Effective processes are in place to ensure that infection surveillance data is collated systematically. Surveillance data is reported in a timely manner to management and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9"/>
        <w:gridCol w:w="1280"/>
        <w:gridCol w:w="90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of all new staff includes education related to the Health and Disability Commissioner’s Code of Health and Disability Services Consumer’s Rights (the Code), with further education on the Code on an annual basis. This was confirmed in staff interviews and staff education records. The Acting Team Leader (ATL) also advised that if staff could not attend one of the scheduled education sessions they were required to complete a questionnaire related to the Code. The service has also developed a comprehensive resource manual for staff related to resident rights.</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interviews staff demonstrated they had a good understanding of the Code and provided examples of how this was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ATL advised that new residents and their families are provided with detailed information about the service before and during the admission process (copy of this information sighted). Registered nurses are also available 24 hours a day to answer any questions and provide additional information.   As part of the admission process residents or their Enduring Power of Attorney are asked to complete a consent form, which includes consent to sharing of information, taking photographs, and outings/trips.   Additional consent is obtained when clinically indicated, such as in relation to flu vaccinations, or further medical/surgical treatment is required. Completed consent forms were seen in all residents’ records reviewed. The admission documentation completed by each new resident and/or their family member identified inclusions and exclusions in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on interview they were offered ongoing opportunities in relation to making informed choices and that their consent was obtained and respected. Family members also advised they were kept well informed about what was happening with the resident. They were also consulted in situations such as when consideration was being given to transferring the resident to a public hospital. </w:t>
            </w:r>
          </w:p>
          <w:p w:rsidR="00EB7645" w:rsidRPr="00BE00C7" w:rsidP="00BE00C7">
            <w:pPr>
              <w:pStyle w:val="OutcomeDescription"/>
              <w:spacing w:before="120" w:after="120"/>
              <w:rPr>
                <w:rFonts w:cs="Arial"/>
                <w:b w:val="0"/>
                <w:lang w:eastAsia="en-NZ"/>
              </w:rPr>
            </w:pPr>
            <w:r w:rsidRPr="00BE00C7">
              <w:rPr>
                <w:rFonts w:cs="Arial"/>
                <w:b w:val="0"/>
                <w:lang w:eastAsia="en-NZ"/>
              </w:rPr>
              <w:t>There were currently no residents with advanced directives. The ATL advised that policies were in place to ensure any such directives were respected.  All residents’ records reviewed contained a completed resuscitation authorisation form, which had been signed by the resident and countersigned by the doctor. This form is reviewed at least annually, and more frequently if a resident’s condition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on interview their awareness of the Advocacy Service and how to access this. Residents are provided with a copy of the Nationwide Health and Disability Advocacy Service (Advocacy Service) brochure as part of the admission process.  Additional copies of this brochure were also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information on the Advocacy Service, and is also included in the ongoing staff education programme. This was confirmed in staff orientation and training records, and staff interviews.  The ATL reported that a representative from Age Concern was always available to support residents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strongly encourages residents to maintain their family and community links.  Residents are supported to visit with families, including going on holiday with family members if they are well enough. Visiting hours are unrestricted, and family members spoken with during the audit visit reported they felt most welcome when they came to visit.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includes regular community outings and events, as well as entertainers and community groups regularly visiting the facility. When residents need to access health care services outside of the facility, such as having x-rays or visiting the dentist, the service ensures that they are accompanied on those visits, and also provides transport in the facility van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complaints and there are systems in place to manage the complaints processes. A complaints register is maintained.  There was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Review of the quality and staff meeting minutes provided evidence of reporting of complaints to staff.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investigation by the Police since the last audit relating to medication. Documentation reviewed and the nurse manager interviewed evidenced this was not able to be substantiated due to a lack of evidence. The Police also issued a non-trespass order relating to a family member. There have been no investigations by the Health and Disability Commissioner (HDC), the Ministry of Health, the DHB, the Accident Compensation Corporation (ACC),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every new resident and their family are provided with a copy of the Code as well as a brochure on the Nationwide Health and Disability Advocacy Service (Advocacy Service).  The ATL explained that this information is discussed with them at the time of their admission by the Nurse Manager or any other senior registered nurse and any questions answered. Further discussions and explanations are provided as required by the individual resident and/or their family.  Copies of the Code and the information on the Advocacy Service, are displayed around the facility, and an audiotape version of the Code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On interview, all residents and family members confirmed their understanding of resident rights and had been given information about the Advocacy Service. They also confirmed that if they did have any concerns they would feel comfortable raising these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residents’ records confirmed that each resident’s individual cultural, religious and social needs, values and beliefs had been identified, documented and incorporated into their lifestyle plan. Lifestyle plans also record strategies to maximise the resident’s independence. There was evidence that these plans had been developed in conjunction with the resident and/or their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each have a private room and were encouraged to personalise these rooms. Residents and families stated on interview that they were treated respectfully and their individual needs were meet. During the audit visit, staff were observed to maintain residents’ privacy when undertaking personal cares, to address residents by their preferred name, and to knock on closed doors before entering. Staff were also observed to interact with residents in a pleasant and professional manner.  Processes were in place to ensure residents’ privacy when using the communal showers and toilets.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of resident information was maintained. Residents’ clinical files were kept either in a locked office, or a locked filing cabinet; electronic information was password protected; archived records were stored securely and staff handovers undertaken in a manner that maintained privacy of information.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interviews staff demonstrated a good understanding of the service’s policy related to abuse and neglect. They were able to provide examples of what would constitute abuse and neglect and outlined the actions they would take if they suspected this. Education records confirmed that staff education related to abuse and neglect is completed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did not have any residents who identified as Maori at the time of the audit visit but there are protocols and policies in place to ensure recognition of Maori values and beliefs should these be required. A kaumatua has reviewed the resource manual, which includes the policy on recognition of Maori values and beliefs, commonly used Maori terms and guidelines for room blessings. The kaumatua is available for consultations and advice as required, and the service can also access additional cultural support from MidCentral Health if required. The ATL advised that she or the kaumatua are responsible for ensuring that the rooms of deceased residents are blessed prior to the next resident being admitted.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values and beliefs of each resident are identified as part of the comprehensive admission process. This information then informs the individualised care plan developed for the resident. In all care plans reviewed residents’ individual needs and personal preferences had been identified. Appropriate interventions were documented to ensure their cultural needs, spiritual values and beliefs were respected. These plans also included evidence of resident/family input into care plan development.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advised on interview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ATL advised that each new staff member receives education during their orientation related to all forms of discrimination and exploitation. Ongoing education is also provided on an annual basis, which was confirmed in staff training records. Individual employment agreements contain detailed information related to discrimination and abuse/neglect. Those staff interviewed were able to demonstrate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residents were free from any type of discrimination or exploitation. The doctor and another visiting health professional also confirmed their satisfaction with the standards of service provision and confidence that residents are not discriminated against in any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policies reflecting best practice are available to guide clinical practice, such as for the management of wounds, diabetes and pain. The service also utilises well-established professional networks which support the maintenance of appropriate practice standards. These include regular consultations with a range of specialist staff, such as wound care specialists, geriatricians, and physiotherapists from MidCentral Health DHB and Arohanui Hospice. The service also employs several very experienced registered nurses who are available to guide care delivery staff, as well as accessing a range of on-line information, such as the Map of Medicine and best practice journals.  Clinical resources are also shared between the organisation’s facilities.  </w:t>
            </w:r>
          </w:p>
          <w:p w:rsidR="00EB7645" w:rsidRPr="00BE00C7" w:rsidP="00BE00C7">
            <w:pPr>
              <w:pStyle w:val="OutcomeDescription"/>
              <w:spacing w:before="120" w:after="120"/>
              <w:rPr>
                <w:rFonts w:cs="Arial"/>
                <w:b w:val="0"/>
                <w:lang w:eastAsia="en-NZ"/>
              </w:rPr>
            </w:pPr>
            <w:r w:rsidRPr="00BE00C7">
              <w:rPr>
                <w:rFonts w:cs="Arial"/>
                <w:b w:val="0"/>
                <w:lang w:eastAsia="en-NZ"/>
              </w:rPr>
              <w:t>On interview, the doctor and another visiting health professionals confirmed their satisfaction with the standard of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members interviewed stated they were informed in a timely manner about any changes to the resident’s status. Evidence was sighted of resident/family input into the care planning process. Families were also advised formally about the dates/times of the resident’s three-monthly medical review, and invited to participate in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open disclosure and effective communication with residents/families was noted in the residents’ files reviewed. Communication was documented in family communication sheets, on the accident/incident forms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ATL advised that interpreter services were able to be accessed from MidCentral Health DHB when required.  There are currently two residents who do not speak English, and the service has worked with their families to ensure translators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Masonic Care Limited is governed by a board of trustees who meet throughout the year.  The nurse manager reports to the chief executive officer (CEO) monthly and the CEO presents a combined report to the board which includes a wide range of subjects including facility performance, care reporting, HDC investigations and sector issues. The nurse manager and CEO confirmed this. The CEO advised they are also in contact with the nurse manager via phone at least weekly. </w:t>
            </w:r>
          </w:p>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which define the scope, vision,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and other services involved in referring people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who is a registered nurse, has 17 years’ experience in their present position. The nurse manager is supported by a rest home care manager/RN who has been in their position for 16 years. The acting team leader/RN for the hospital and an assistant manager/RN have been in their roles for three years and have wide knowledge of the sector. Interview of the nurse manager and the other managers and the acting team leader and review of their personal files evidenced they have undertaken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Masonic Court Rest Home and Hospital (Masonic) is certified to provide hospital and rest home level care.  On the first day of this audit there were 14 hospital level care residents and 31 rest home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rest home care manager and acting team leader-hospital deputise.  When the rest home manager is absent, the nurse manager and acting team leader-hospital fill in. The nurse manager, acting team leader and care manager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that is used to guide the quality programme.  Purpose, goals and objectives and scope are included in the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was completed in 2015 and results indicated that residents and families were mainly satisfied to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2015 and 2016, clinical indicators and quality improvement data were reviewed.  Review of the quality improvement data evidenced the data was being collected and collated. Corrective actions were inconsistently developed and where they had been implemented, there was no documented evidence of follow-up to the action taken and the effectiveness. There was evidence of graphing of clinical indicators, but this was not reported back to staff to discuss.</w:t>
            </w:r>
          </w:p>
          <w:p w:rsidR="00EB7645" w:rsidRPr="00BE00C7" w:rsidP="00BE00C7">
            <w:pPr>
              <w:pStyle w:val="OutcomeDescription"/>
              <w:spacing w:before="120" w:after="120"/>
              <w:rPr>
                <w:rFonts w:cs="Arial"/>
                <w:b w:val="0"/>
                <w:lang w:eastAsia="en-NZ"/>
              </w:rPr>
            </w:pPr>
            <w:r w:rsidRPr="00BE00C7">
              <w:rPr>
                <w:rFonts w:cs="Arial"/>
                <w:b w:val="0"/>
                <w:lang w:eastAsia="en-NZ"/>
              </w:rPr>
              <w:t>There are numerous meetings held monthly, including quality, separate rest home and hospital meetings, kitchen, laundry and cleaner and resident meetings. Staff reported they discuss clinical indicators at the meetings, however there was no documented evidence of analysis to identify trends.  There was documented evidence of reporting on various clinical indicators around the numbers only and the number of falls with or without injury. Staff reported during interview that copies of meeting minutes are available for them to review.  This was confirmed by observations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 procedures have been reviewed and are current.  Staff confirmed during interview that they are advised of updated policies and they confirmed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manual is available.  Risks are identified, and there is a hazard register that identifies potential health and safety risks as well as risks associated with human resources management, legislative compliance, contractual risks and clinical risk. There was no hazard register available that documents actual hazards. Staff reported they usually write any hazards in the reactive maintenance book, rather than completing a hazard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nurse manager reported there have been essential notifications to the Ministry of Health since the last audit. Documentation confirmed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and procedures.  Staff files included job descriptions which outline accountability, responsibilities and authority, employment agreements, completed orientation and competency assessments. There was no evidence of police vetting on any of the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acting team leader/RN is responsible for managing the in-service education programme. In-service education is provided for staff at least monthly, as well as on-line learning and one-to-one education. Individual records of education are maintained as are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orientation/induction programme and all new staff are required to complete this prior to their commencement of care to residents. The entire orientation process, including completion of competencies, takes up to two months to complete.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Not all 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Five of seven registered nurses have completed the interRAI assessment programme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that is based on best practice.  The minimum number of staff is provided during the night shift and consists of one registered nurse and two caregivers.  The nurse manager and the care manager are rostered on-call after hours.  Care staff reported there are adequate staff available and that they were able to complete the work allocated to them.  Residents and family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included the resident’s unique identifier. The clinical records reviewed were integrated, including the interRAI assessment, medical reports, reports from other health professionals, hospital discharge information and laboratory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Resident-related information is kept in both hard-copy and electronic files. These files were maintained securely. Electronic files and systems such as interRAI and ‘MediMap’ are password protected and could only be accessed by designated staff.  Hard copy information is kept in the nurses’ stations. In one wing this information was kept in a locked office, in the second wing this information was kept in a locked cabinet.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progress notes were completed every shift, with the name of the person making each entry clearly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processes associated with admission to the service were described by the ATL. Residents must have had their care level requirements assessed and confirmed by the Needs Assessment and Service Coordination Service (Supportlinks) prior to being accepted for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 their family/whanau are encouraged to visit the facility and meet with the Nurse Manager prior to admission. They are provided with detailed information about the service, including the admission criteria and the processes that must be completed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as part of that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ATL explained that when a resident is transferred a range of clinical and other information is sent with them to facilitate continuity of service delivery, including medication charts, family contact details and a transfer form. The DHB’s ‘pink envelope’ system is used when residents are being transferred to acute hospital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complies with legislative requirements and safe practice guidelines. The service uses an electronic medication management system.  In all medication charts reviewed, medications were charted in an appropriate manner, discontinued medications documented, and medications reviewed at least three monthly. The service has standing orders for a limited range of medications, and the standing orders complied with guidelines.  Although there were no residents self-medicating at the time of the audit, processes are in place for residents to self-medicate,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Evidence was sighted that these packs are checked against the medication chart by a RN on arrival to the service. Checks are also undertaken on a regular basis for any surplus and expired medication, which is returned promptly to the pharmacy. A stocktake of all controlled medication is undertaken weekly and reviewed six-monthly by the pharmacy, as evidenced in the controlled drugs register.  Records of the daily check of the medication fridge temperature were sighted.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caregivers administer medication in the facility. All of these staff complete medication competency assessments annually (records were sighted). Observations of two medication rounds confirmed that medications were administered in a safe and appropriate manner. All of the fourteen medication charts contained a current photograph of the resident, the medication was checked against the medication chart prior to verbally confirming the resident’s identity before the medications were administered; the medications were observed being taken; and then the administration was documented. The service had recently identified an increase in medication incidents, and has instigated several initiatives to address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service management are consistent with legislative requirements and best practice.  On inspection, the kitchen was organised and well maintained, clean and tidy. Food was stored appropriately, and food in the fridge and freezers was dated and covered. Cleaning schedules were sighted. Records were sighted that fridge and freezer temperatures were monitored daily and remained within recommended ranges. A regular maintenance programme is in place for equipment such as ovens and the dishwasher.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Experienced and appropriately qualified staff are responsible for food services within the facility. All four cooks have completed NZQA Unit Standard 167 food safety, and the Hospitality Manager advised that further updates had been planned for the near future.  Every quarter the kitchen undertakes a food satisfaction audit, which includes a plate waste audit, and formal interviews with five residents about their satisfaction with meals. This is in addition to the questions related to the food services, which are included in the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The kitchen caters for a range of nutritional requirements, including diabetic, vegetarian, soft and puree diets. A four weekly menu, with summer and winter options, was reviewed by a dietician in early June 2016. A dietary profile is completed when residents are admitted and details of their likes/dislikes and special nutritional needs recorded on the kitchen whiteboard. Specialised crockery, such as lip plate and feeding cups, are available.  There is a spacious and well-lit main dining room, with a smaller dining area in the hospital wing. There was evidence in residents’ clinical records that they were being weighed monthly, and appropriate interventions were implemented in response to clinically significant weight loss or weight gain.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prospective resident did not meet the entry criteria, or there was currently no vacancy, the ATL advised that the Nurse Manager or senior nursing staff would support them and their family to work with Supportlinks to find appropriate care/placement.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ATL advised that residents are assessed by a registered nurse within 24 hours of admission. Within three weeks of admission an interRAI assessment is completed. The outcomes of that assessment, and a range of other relevant information such as the NASC assessment and hospital discharge summary, then underpin the development of the long term care plan. All residents’ records reviewed demonstrated evidence of a comprehensive and ongoing assessment process which also includes resident/family involvement. These were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individualised and detailed care plan which provides guidance for care delivery staff to support the resident’s identified needs and promote continuity of care. Residents and families stated they felt included in the development of these plans, and their ongoing evaluation. The care plans reviewed during the audit reflected the support needs of residents and the outcomes of the integrated assessment process.   Refer also to criterion 1.3.8.3 in relation to short-term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individualised care plans for each resident outline the supports they require and the services to be provided. These plans provide direction for care delivery staff, who also have access to registered nurses 24 hours a day for further guidance and support as required.  The residents’ records reviewed demonstrated regular, timely and comprehensive ongoing assessment of long-term care needs which then informed the provision of care services. Service delivery related to short-term care needs was not consistently documented and/or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as well as a doctor and another health professional, expressed their satisfaction with the standard of care provided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qualified diversional therapists (DT), each with eleven years’ experience in the role, are responsible for the activities programme, which runs from Monday-Saturday each week. Both DTs are members of the local DT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DTs explained how residents’ previous and current interests are assessed on admission and individual activity plans completed within three weeks and reviewed six monthly. This was confirmed in residents’ records. The outcomes of residents’ assessments inform the development of the activities plan. Activities planned for June included games, entertainment, quizzes, exercises, music therapy, card games, weekly church services, and ‘happy hour’.  Activities are provided mainly on a group basis, although one-on-one activities are also available. The facility van is used regularly for outings, such as trips to the beach for a fish and chips lunch, shopping and scenic drives. Several outings have ventured further afield, such as a trip to Napier, with the DTs advising that more of these longer outings are planned in the near future.  The DTs also facilitate the residents’ meetings, which are held every two-three months. </w:t>
            </w:r>
          </w:p>
          <w:p w:rsidR="00EB7645" w:rsidRPr="00BE00C7" w:rsidP="00BE00C7">
            <w:pPr>
              <w:pStyle w:val="OutcomeDescription"/>
              <w:spacing w:before="120" w:after="120"/>
              <w:rPr>
                <w:rFonts w:cs="Arial"/>
                <w:b w:val="0"/>
                <w:lang w:eastAsia="en-NZ"/>
              </w:rPr>
            </w:pPr>
            <w:r w:rsidRPr="00BE00C7">
              <w:rPr>
                <w:rFonts w:cs="Arial"/>
                <w:b w:val="0"/>
                <w:lang w:eastAsia="en-NZ"/>
              </w:rPr>
              <w:t>When speaking with residents about the activities programme, those who participated regularly in the programme expressed their enjoyment of the activities available to them. Several other residents stated they preferred not to participate in group activities, and their wishes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the clinical files reviewed, long-term care plans had been evaluated at least six monthly.  These evaluations were completed by registered nurses, and provided clear details of resident’s progress towards achieving identified goals. Short-term care plans were not consistently developed as clinically indicated, and documentation related to resident progress towards achieving identified goals was incomplete.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residents to access other health and/or disability providers is maintained. Residents are able to choose who their regular doctor will be. If the need for other services is identified, the doctor or a registered nurse sends a referral to seek specialist provider assistance, and copies of such referrals were sighted. The resident/family confirmed on interview that they are kept informed about the referral processes. Support is available to transport and accompany residents to external health-related visits, as sighted in residents’ records and confirmed during interviews with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are throughout the facility and accessible for staff.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protective clothing and equipment available, appropriate to recognised risks.  There was protective clothing and equipment sighted in the sluice rooms and the laundry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There are appropriate systems in place to ensure the residents’ physical environment and facilities are fit for their purpose. However, there are external doors and weather boards that are in need of replacing. All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There is a reactive maintenance book for staff to enter any maintenance required. Plant and equipment are maintained to an adequate standard.  Although the maintenance person reported they carry out proactive maintenance, there was no proactive maintenance programme available. The testing and tagging of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are required and that requests are appropriately actioned.  Residents also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bedrooms share a full ensuite and some other bedrooms have a wash hand basin and toilet.  There are adequate numbers of communal bathrooms and toilets throughout the facility.  Residents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provide single accommodation. There is adequate personal space provided for residents and staff to move around safely within the bedrooms. Residents, including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areas for residents to frequent for activities, dining, relaxing and for privacy.  These areas are easily accessed by residents and staff.  Residents confirmed this.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Residents and family members reported the laundry is managed well and residents’ clothes are returned in a timely manner. Staff share responsibility for all laundry.</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education.  Interview of one of the cleaners and training records confirmed this.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There is an evacuation policy on emergency and security situations and covers all service groups provided at the facility.  A fire drill takes place six-monthly with a copy provided to the New Zealand Fire Service.  The orientation programme includes fire and security education.  Staff confirmed their awareness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care staff have current first aid certificates. 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a gas BBQ.</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Contractors must wear names badges and sign in and out of the facility. They are also made aware of any hazards on site. </w:t>
            </w:r>
          </w:p>
          <w:p w:rsidR="00EB7645" w:rsidRPr="00BE00C7" w:rsidP="00BE00C7">
            <w:pPr>
              <w:pStyle w:val="OutcomeDescription"/>
              <w:spacing w:before="120" w:after="120"/>
              <w:rPr>
                <w:rFonts w:cs="Arial"/>
                <w:b w:val="0"/>
                <w:lang w:eastAsia="en-NZ"/>
              </w:rPr>
            </w:pPr>
            <w:r w:rsidRPr="00BE00C7">
              <w:rPr>
                <w:rFonts w:cs="Arial"/>
                <w:b w:val="0"/>
                <w:lang w:eastAsia="en-NZ"/>
              </w:rPr>
              <w:t>The external doors are locked in the evenings and an external firm is contracted for security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heat pumps, water heaters, and under floor heating in some areas.  Residents are provided with safe ventilation and an environment that is maintained at a safe and comfortable temperature. All resident areas are provided with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management is guided by a comprehensive infection control manual, and a facility-specific management programme. The manual includes definitions, procedures, guidelines to identify infections, information for all employees related to accidents, spills, needle stick injury prevention, sharps management and single-use items. This manual is updated regularly, and the facility is using the 2016 edition. The facility infection management programme was updated in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of the rest home is the designated infection control coordinator, while the ATL (hospital wing) is the ‘outbreak coordinator’. Infection control matters, including surveillance results, are reported monthly to the quality committee and to the nurse manager, who then reports to the chief executive officer. Meeting minutes and monthly reports were sighted. The results of the surveillance programme and any other infection control matters are shared with staff via the regular staff meetings and at staff handover meetings. This was confirmed in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A sign at the main entrance to the facility ask anyone who is or has been unwell in the past 48 hours to not enter the facility. The infection control manual provides guidance for staff about how long they must stay away from work if they have been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job description is available to guide the infection control coordinator in their role. The infection control coordinator, a senior registered nurse, has been in the role for ten years, and has undergone a range of relevant education over that period, as confirmed in training records. They are also able to use a range of established networks, such as with the Infection Control Team at MidCentral DHB and the Public Health Unit when additional support/information is required. The coordinator advised that in her infection control capacity she has access to residents’ records and diagnostic results to ensure timely treatment and resolution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equipment is freely available to staff, who confirmed the availability of this equipment. The service also maintains a supply of additional equipment in case of an infection outbreak (supplies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infection control resource manual, developed by an external provider, guides infection prevention and control practices. This manual complies with legislation and current accepted good practices, and was updated this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easily accessed around the facility, and staff were observed using these on a regular basis. All clinical, housekeeping and kitchen staff were observed to be compliant with generalised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advised that infection control is a component of the staff orientation programme. Annual infection prevention and control education was provided to staff, as confirmed in staff training records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education is provided by either the infection control coordinator or the outbreak coordinator, both experienced registered nurses. The infection control coordinator also advised that additional staff education is provided on an as-required basis, such as if there was an infection outbreak or if there were an increased incidence of resident infections (eg,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explained that education with residents is generally on a one-to-one basis. This may include strategies to minimise the possibility of urinary tract infections, reminders about handwashing, or education related to specific infection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an appropriate range of infections is undertaken on a monthly basis. This includes data related to respiratory tract, eye, ear, nose, mouth, urinary tract, skin, soft tissue and gastrointestinal infections. The analysis and evaluation of data related to the rest home is limited, and infection surveillance is not integrated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monthly surveillance results are reported to the nurse manager, who then reports to the chief executive officer. Surveillance results are also reported to the quality meeting, and all staff meetings. This was confirmed in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no formal benchmarking of infection-related data, although the nurse manager advised this is discussed informally at the quarterly Masonic facility manager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demonstrates that the use of restraint is actively minimised. There were six residents using restraint and two using enablers during the audit. The acting team leader/RN is the restraint coordinator and demonstrated good knowledge relating to restraint minimisation. The restraint/enabler register is current and updated. The policies and procedures have definitions of restraints and enablers. Staff demonstrated good knowledge about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determining the restraint approval processes. The restraint coordinator and staff interviewed and the residents' files evidenced responsibilities were identified and known. The residents' files evidenced residents and/or family input into the restraint approval processes. There was a documented, formal process for the approval of specific restraint processes at the policy/procedure level.  The approval group forms part of the quality meetings and discussion includes education and competencies, equipment, and the use of restraint.</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aware of the restraint coordinator’s responsibilities. Policy/procedures define approved restraints and alternatives to restraint. There were policies relating to strategies to minimise use of restraint and management of challenging behaviour. The orientation/induction programme includes overview of restraint policies/procedures.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that ensure assessments of residents are undertaken prior to restraint usage being implemented. Residents' files demonstrated restraint assessment and risk processes were being followed. The policies related to strategies to minimise the use of restraint and management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restraint assessment risks were documented and included resident and/or family input. Care plans evidenced restraint assessment risks were reviewed. Care staff demonstrated a sound knowledge concerning restraint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ensure the service is using restraint safely. The restraint policies and procedures identified risk processes that are to be followed when a resident is being restrained. The residents' files evidenced evaluations, review of restraint goals and interventions and were current.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appropriate alternative interventions were implemented and de-escalation attempted prior to initiating restraint. The restraint consents by resident and/or family were current. The restraint register is current and provides sufficient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processes are documented in the restraint minimisation and safe practice policy. The residents' files evidenced each episode of restraint was monitored. Although restraint is evaluated monthly, the evaluation form does not provide sufficient information. The resident’s care plan evaluations were current.  Restraint meetings minutes were reviewed as part of the quality meetings.  The acting team leader and RNs are responsible for evaluating restraint use and this was confirmed during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includes a quality review of restraint. This was late completed in April 2016. The outcome of the review was documented and reported on and discussed at the quality meetings.  Policies and procedures included monitoring and quality review processes. Staff have received education relating to restraints and enablers, and restraint competencies are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19"/>
        <w:gridCol w:w="1280"/>
        <w:gridCol w:w="3776"/>
        <w:gridCol w:w="1737"/>
        <w:gridCol w:w="2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and collated. The staff member responsible reported graphs are generated. However, these are basic and staff reported they have not seen them. Staff reported they discuss the clinical indicators during the staff meetings to identify any trends. There was no documented evidence to support this. There was documented numbers of clinical indicators for the month, but no evidence of any analysis to identify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staff reported they discuss analysis and trends during their staff meetings, there was no documented evidence that clinical indicators are analysed to identify any trends. Meeting minutes evidenced numbers only are reported back to staff, apart from falls with injury or without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quality data is analysed to identify trends and that this is reported back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were evidenced in the quality and staff meeting minutes. Some internal audits had corrective action plans, but these were inconsistent and documented what the problem was, rather than an action plan. The satisfaction surveys, resident meeting minutes and any hazards had no evidence of corrective actions. Where corrective action plans had been developed, there was little evidence of follow-up as to the action taken and the effectiveness of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always developed following deficits identified. Where corrective action plans have been developed, there was no review to determine whether the corrective action had been effective.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corrective action plans for all deficits identified and review the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Potential risks are identified and documented in a hazard register. Potential hazards show the actions put in place to minimise, isolate or eliminate risks. Safety issues are discussed at the monthly staff meetings. There was no hazard register that documents actual hazards. Staff reported they enter any hazards into the reactive maintenance book for the maintenance person to fix, rather than on a hazard form.  The health and safety coordinator is responsible for hazards and reported they had not seen any hazard reports for some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register for actual hazards. Hazards are being entered into the maintenance book by staff, instead of staff completing hazard forms. The health and safety officer reported they had not seen any completed hazard forms for some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hazards are reported on a hazard form. Record all actual hazards on a register so they are able to be managed, monitored, evaluated and reviewed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outline accountability, responsibilities and authority, employment agreements, references, code of conduct, completed orientation and competency assessments. There was no evidence of police vetting on any of the files reviewed. Two staff files had evidence of current performance appraisals. Four files had no evidence of current appraisals including the nurse manager and care manager. The other two files reviewed were new employees and an appraisal was not yet 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(i)Four of six files had no evidence of current performance appraisals. The other two files were for employees who are new and appraisals are not due. (ii) None of the eight staff files reviewed had evidence of police vetting.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have current performance appraisals. Police vetting is undertaken as part of the recruitment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Individualised and detailed long-term care plans, reflecting comprehensive assessment outcomes, and the integration of a range of relevant information, were sighted in all clinical files reviewed.  In four of those files, the resident had an acute clinical event that required the development of a short-term care plan.  These events included infections, changes in medication, a fracture and a soft tissue injury. It was unclear from the documentation in each file, particularly the residents’ progress notes, as to whether the planned treatment related to the acute event had been fully implemented, and the residents’ response to those treatments. Refer also to Criterion 1.3.8.3.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documented in short term care plans were not consistently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detailed within care plans are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regular evaluations of long-term care plans included detailed information on the resident’s progress towards meeting desired outcomes. These evaluations were undertaken at least six-monthly by registered nurses, and plans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recently instigated a new system to ensure staff are aware when a short-term care (STC) plan has been instigated, with these plans printed on coloured paper, and a list of plans displayed in the nursing stations. The STC plans are easily located within the clinically file. Initially, two STC plans were reviewed, and the sample was then extended by a further four plans.  Two of these plans were not related to clinical events but were being used more as a communication record for staff, such as the outcomes of a recent doctor’s visit. In the remaining four instances, documentation and evaluation related to the clinical event was irregular and incomplete, both on the STC plan form itself, and in the residents’ progress notes.  It was also difficult to quickly identify which of the STC plans were still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progress towards meeting desired outcomes identified in short-term care plans was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towards meeting desired outcomes is fully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of the care plans reviewed evidence was sighted of the long-term care plan being updated in response to regular evaluation of resident progress.</w:t>
            </w:r>
          </w:p>
          <w:p w:rsidR="00EB7645" w:rsidRPr="00BE00C7" w:rsidP="00BE00C7">
            <w:pPr>
              <w:pStyle w:val="OutcomeDescription"/>
              <w:spacing w:before="120" w:after="120"/>
              <w:rPr>
                <w:rFonts w:cs="Arial"/>
                <w:b w:val="0"/>
                <w:lang w:eastAsia="en-NZ"/>
              </w:rPr>
            </w:pPr>
            <w:r w:rsidRPr="00BE00C7">
              <w:rPr>
                <w:rFonts w:cs="Arial"/>
                <w:b w:val="0"/>
                <w:lang w:eastAsia="en-NZ"/>
              </w:rPr>
              <w:t>None of the four clinically-related STC plans reviewed included a goal of care and interventions listed to meet an identified clinical problem, such as, infections, medication changes, and soft tissue injuries, were incomplete. For example, a resident was recently diagnosed with three infections concurrently but their short term care plan focused on just one of those infections.  For another resident, a change in the treatment of a short-term condition was not then reflected in changes to their STC plan.  In two other instances, planned interventions, such as blood sugar measurement, and discontinuation of the use of support stockings, had not been consistently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not consistently or comprehensively developed to reflect acute changes in the health status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 progress is different from expected, the resident’s care plan is updated to reflect this.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building is maintained to an adequate standard and is appropriate for the needs of residents. Passageways are wide enough for mobility aids and residents reported they are able to move easily about the facility. There is a reactive maintenance book and the maintenance person is responsible for completing anything that requires fixing. Some external doors and weather boards have dry rot and windows with wooden surrounds have putty missing around the frames. Plant and equipment are maintained to an adequate standard.  Although the maintenance person reported they carry out proactive maintenance, there was no proactive maintenance programme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maintenance person reported they undertake preventative maintenance, however there is no programme available. There are some external doors and weather boards with dry rot. Windows with wooden surrounds have the putty missing around the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proactive maintenance programme, and provide timeframes for replacing/maintaining the external doors, weatherboards, and window frames to an adequate standard.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surveillance data is reported to relevant personnel and management in a timely manner, the required analysis and trending of the rest home data is not consistently undertaken prior to that reporting taking place. Graphs of 2016 surveillance data were sighted only for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currently undertaken separately by the hospital and rest home areas. There is no mechanism in place to analyse the combined data and identify trends/issues across the facility.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not integrated across the facility, and there is limited analysis of some surveillance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integrated across the facility, and all surveillance data is fully analysed and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use restraint had monitoring forms completed and there was evidence of evaluations completed. The evaluation form does not include items (a) to (k) as required under this criterion and therefore are not comprehensive. Evaluations are mainly one line stating the word “unchanged”.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forms are basic and do not include items (a) to (k) under this criterion.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an evaluation form that includes (a) to (k) as required under this criterion.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Masonic Court Rest Home and Hospital</w:t>
    </w:r>
    <w:bookmarkEnd w:id="58"/>
    <w:r>
      <w:rPr>
        <w:rFonts w:cs="Arial"/>
        <w:sz w:val="16"/>
        <w:szCs w:val="20"/>
      </w:rPr>
      <w:tab/>
      <w:t xml:space="preserve">Date of Audit: </w:t>
    </w:r>
    <w:bookmarkStart w:id="59" w:name="AuditStartDate1"/>
    <w:r>
      <w:rPr>
        <w:rFonts w:cs="Arial"/>
        <w:sz w:val="16"/>
        <w:szCs w:val="20"/>
      </w:rPr>
      <w:t>23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