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Everill Orr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Everill Orr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2016</w:t>
      </w:r>
      <w:bookmarkEnd w:id="7"/>
      <w:r w:rsidRPr="009418D4">
        <w:rPr>
          <w:rFonts w:cs="Arial"/>
        </w:rPr>
        <w:tab/>
        <w:t xml:space="preserve">End date: </w:t>
      </w:r>
      <w:bookmarkStart w:id="8" w:name="AuditEndDate"/>
      <w:r w:rsidR="00A4268A">
        <w:rPr>
          <w:rFonts w:cs="Arial"/>
        </w:rPr>
        <w:t>31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Everil Orr Village (Oceania Care Company Limited) can provide care for up to 67 residents requiring care at either rest home or hospital level with 56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the regional and executive management team. Service delivery is monitored.</w:t>
      </w:r>
    </w:p>
    <w:p w:rsidRPr="00A4268A">
      <w:pPr>
        <w:spacing w:before="240" w:line="276" w:lineRule="auto"/>
        <w:rPr>
          <w:rFonts w:eastAsia="Calibri"/>
        </w:rPr>
      </w:pPr>
      <w:r w:rsidRPr="00A4268A">
        <w:rPr>
          <w:rFonts w:eastAsia="Calibri"/>
        </w:rPr>
        <w:t xml:space="preserve">All requirements identified at the previous audit around the building, curtains and heating have been addressed. </w:t>
      </w:r>
    </w:p>
    <w:p w:rsidRPr="00A4268A">
      <w:pPr>
        <w:spacing w:before="240" w:line="276" w:lineRule="auto"/>
        <w:rPr>
          <w:rFonts w:eastAsia="Calibri"/>
        </w:rPr>
      </w:pPr>
      <w:r w:rsidRPr="00A4268A">
        <w:rPr>
          <w:rFonts w:eastAsia="Calibri"/>
        </w:rPr>
        <w:t xml:space="preserve">This surveillance audit identified an improvement required to evidence of resolution of issues when identified in meeting minutes.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Complaints reviewed are investigated with documentation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Everil Orr Village has documentation of the Oceania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Provision of care is coordinated to promote continuity of service delivery. The residents and family interviewed confirm their input into care planning and access to a range of life experiences and choices. Sampling of residents' clinical files validated service delivery to the residents. Resident’s care planning is changed according to the needs of the resident when progress is different from expected. The service uses short term care plans for acute problems. </w:t>
      </w:r>
    </w:p>
    <w:p w:rsidRPr="00A4268A" w:rsidP="00621629">
      <w:pPr>
        <w:spacing w:before="240" w:line="276" w:lineRule="auto"/>
        <w:rPr>
          <w:rFonts w:eastAsia="Calibri"/>
        </w:rPr>
      </w:pPr>
      <w:r w:rsidRPr="00A4268A">
        <w:rPr>
          <w:rFonts w:eastAsia="Calibri"/>
        </w:rPr>
        <w:t xml:space="preserve">Residents and family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Medication areas, including controlled drug storage, evidence a secure medicine dispensing system. Review of staff competencies confirmed all staff have current medication management competencies. None of the residents were self-administering their medicines at time of audit. Three monthly medicines reviews are completed for all residents.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Additional nutritional and dietary requirements are being met. There is a central kitchen and on-site staff that provide the food services. The kitchen manager confirmed that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are congruent with the restraint minimisation and safe practice standard. Documentation of restraints and enablers includes identification of risks and monitoring time frames. There is a job description for the restraint coordinator and the service is maintaining a restraint register. There is one resident using restraint and one resident using an enabler in the facility.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providers policies, which suits their size and service type. Data on the nature and frequency of identified infections is collated and analysed. The results of surveillance are reported through all levels of the organisation, including governance and benchmarked against other Oceania facilities. The clinical manager is the infection control nurse for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3"/>
        <w:gridCol w:w="1280"/>
        <w:gridCol w:w="97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relating to each lodged complaint is held in the complaint’s folder. Two complaints in 2016 reviewed indicate that the complaints are investigated promptly with the issues resolved in a timely manner. The complainants in both cases stated that the complaint had been resolved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Residents and family state that these are dealt with as soon as they are identified. Residents and family members state that they have laid complaints in the past with the management team and they feel that they are listened to, with issues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There is evidence that family can access advocacy services, if they require, to support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Interviews with family members confirm they are kept informed. Family also confirm that they are invited to the care planning meetings for their family member and could attend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or family sign an admission agreement on entry to the service. Those reviewed were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Village is part of the Oceania Care Company Limited with the executive management team including: the chief executive; general manager; regional manager;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clinical and quality manager, operations manager, the business and care manager and the clinical manager takes place on at least a monthly basis. The clinical and quality manager provided support during the audit. The monthly business status report provides the executive management team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values and goals. These are communicated to residents, staff and family through posters on the wall, information in booklets and in staff orientation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67 residents with 56 beds occupied at the audit. This included 19 residents requiring rest home level care and 37 requiring hospital level care. Four residents were identified as being under the young people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service. The business and care manager is a registered nurse with a current annual practicing certificate, has an advanced diploma in nursing and certificate in education and has been in the role for 12 months. The business and care manager has 19 years’ experience in management roles and in care of the older adult.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Everil Orr Village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 based best practice guidelines. A document control system is in place. Policies are readily available to staff in hard copy. New and revised policies are presented to staff to read and staff sign to evidence that they have read and understood them. The policy around pressure injuries (PI) has been updated, ratified and staff have been informed of the new policy. The registered nurses confirm that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incidents and accidents, surveillance of infections, PIs, soft tissue/wounds, and implementation of an internal audit programme. The corrective action plans are documented and there is evidence of the resolution of issues, when issues are identified, in most cases. An improvement is required to documentation of the resolution of issues.  There is documentation that includes collection, collation, and identification of trends and analysis of data. Internal audits around PIs are completed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meetings including: staff/quality improvement; clinical; restraint and infection control. There are three monthly resident meetings and family are able to come to the resident meetings, if they wish. There is evidence of attendance by staff at meetings with meeting minutes put in the staffroom for staff to read. There are monthly clinical indicator reports with data tabled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for family and residents in 2016 shows that they are satisfied or very satisfied with services provided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throughout the year with a facility health check completed by the clinical and quality manager. Any issues are identified in the health check, a corrective action plan put in place and evidence of resolution of issues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would be notified of any sentinel event. One sentinel event reviewed indicates that appropriate authorities have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(RN), business and care manager and the clinical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are paired with a senior health care assistant for shifts or until they demonstrate competency on a number of tasks including resident’s personal cares. Health care assistants confirm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clinical staff including: hoist; oxygen use; hand washing; wound management; medication management; moving and handling; restraint; nebuliser; blood sugar and insulin; and assisting residents to shower. Evidence of completion of competencies is kept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education and training programme with an annual training schedule documented. Staff attendances are documented for training provided. Education and training hours are at least eight hours a year for each staff member. Five of the eight RNs have completed interRAI training, as has the clinical manager. Three others are waiting for placement in the next enrolment. Staff have completed training around pressure injuries (PI) in 2015 with staff receiving training around PIs in 2016 when they complete the day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meeting resident acuity and bed occupancy. Staffing has been organised to reflect the needs of hospital and rest home residents in varying wings of the hospital. The clinical manager’s office is used as a base for registered nurses (RN) when there are residents requiring hospital level care at the opposite end of the building from where the nurse’s stations are 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56 staff including clinical staff, a staff member who facilitates the activities programme and household staff. There is always a RN on each shift with a second RN rostered on morning and afternoon shifts. The business and care manager and the clinical manager are on call. The business and care manager and the rosters confirmed that staff could be brought in for extra time for special residents requiring this,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confirmed that staff are replaced when on leave by casual or bureau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evidences weekly checks and six monthly physical stocktakes.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The medication round was observed and evidenced the staff member was knowledgeable about the medicines administered and signed off, as the dose was administered. Administration records are maintained, as are specimen signatures. Standing orders are current. Medication records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were no residents self-administering medicines. Three monthly medicines reviews were conducted for the residents within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kitchen manager confirmed they are aware of the residents’ individual dietary needs. The residents' files demonstrate monthly monitoring of individual resident's weight. In interviews, residents stated they are satisfied with the food service and reported their individual preferences are met and adequate food and fluids are provided. Interview with the kitchen manager confirmed kitchen staff have completed food safety training, and this was verified by their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environment was clean, well lit and uncluttered. There was evidence of kitchen cleaning schedules, signed off as cleaning is completed. Fridge, chiller and freezer temperatures are monitored regularly and recorded, as are food temperatures. There is a seasonal menu, last reviewed by a dietitian on 4 April 2016. Review of residents’ files, dietary profiles and kitchen documentation showed evidence of residents being provided with nutritional meals and meals such as special diets, pureed meals along with alternative nutrition appropriate to the residents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was enough stock to last in an emergency situations,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person’s centred care plans (PCCP) evidence the required interventions, desired outcomes and/or their goals. The general practitioner (GP) documentation and records are current. Interviews with residents and family confirm their and their relatives’ current care and treatments meet their needs. Family communication is recorded in the residents’ files. Nursing progress notes and observation charts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confirm during interview that they are familiar with the current interventions of the residents they were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activities coordinator (AC) who oversees residents’ activity programmes in both the rest home and the hospital. Interview with the AC confirmed a activities programme is available to each residents in the hospital and rest home.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activities assessments and activities care plans in residents’ files reviewed. The service has four residents under the contract for younger people and all have additional activities catered to their needs. Activities care plans in the residents’ files reviewed had intervention relating to the activities goals. The residents’ activities attendance records are maintained, as are activities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 their participation in care plan evaluations and multidisciplinary reviews. The residents’ progress records are entered on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April 2017. </w:t>
            </w:r>
          </w:p>
          <w:p w:rsidR="00EB7645" w:rsidRPr="00BE00C7" w:rsidP="00BE00C7">
            <w:pPr>
              <w:pStyle w:val="OutcomeDescription"/>
              <w:spacing w:before="120" w:after="120"/>
              <w:rPr>
                <w:rFonts w:cs="Arial"/>
                <w:b w:val="0"/>
                <w:lang w:eastAsia="en-NZ"/>
              </w:rPr>
            </w:pPr>
            <w:r w:rsidRPr="00BE00C7">
              <w:rPr>
                <w:rFonts w:cs="Arial"/>
                <w:b w:val="0"/>
                <w:lang w:eastAsia="en-NZ"/>
              </w:rPr>
              <w:t>One building (the Astley wing) has been demolished since the last audit with a building site contained by the contracted company. Noise levels because of the construction site are being monitored. There have been no building modifications to other parts of the building since the last audit although there has been refurbishment of rooms. 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courtyards and grass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toilet, showering and bathing facilities in close proximity to all bedrooms with a staff and visitors toilets near reception. One single room and one double room had been refurbished at the previous audit. Both had residents in them and neither had the curtains replaced. Both rooms were checked on the day of the audit and both had curtains that had been replaced. All rooms have curtains on windows and curtains to separate bed areas in double rooms. The previous requirement identified at the partial provisional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Rooms in the facility are ventilated and heated in a way that maximises resident comfort. Heaters identified as being too hot at the previous audit have had cages put in place that protect any person intending to touch them. One boiler has been decommissioned with heating options replaced by electric heaters in bedrooms and oil filled heaters in communal areas. Residents and family interviewed confirm that there is adequate heating and ventilation. The previous improvement identified at the partial provisional audit around heating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is clearly documented in the infection log maintained by the clinical manager/infection control nurse (ICN). Surveillance for infection is carried out in accordance with agreed objectives, priorities, and methods that have been specified in the infection control (IC) programme. IC processes are in place and documented. Surveillance results are discussed in the staff meeting. There have been no outbreaks since the previous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is a job description for the position of the restraint coordinator who is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observations, and review of documentation, demonstrated safe use of restraint and enablers. The service has a policy of actively minimising restraint. The service has a documented system in place for restraint and enabler use, including a current restraint register. There was one resident using restraints and no enablers being used in the facility on audit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8"/>
        <w:gridCol w:w="1280"/>
        <w:gridCol w:w="6243"/>
        <w:gridCol w:w="1772"/>
        <w:gridCol w:w="21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the clinical manager document corrective action plans with evidence of resolution of issues when these are identified through the internal audit process. At times, corrective actions, when identified in meeting minutes, include sign off indicating that they have been resolved. At times also, the issues are carried over to the next meeting with evidence that these have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in meeting minutes are not always signed off indicating that the issue has been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when issues are identified through meeting minutes they are consistently signed off to indicate that the issue has been resolved.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Everill Orr Village</w:t>
    </w:r>
    <w:bookmarkEnd w:id="58"/>
    <w:r>
      <w:rPr>
        <w:rFonts w:cs="Arial"/>
        <w:sz w:val="16"/>
        <w:szCs w:val="20"/>
      </w:rPr>
      <w:tab/>
      <w:t xml:space="preserve">Date of Audit: </w:t>
    </w:r>
    <w:bookmarkStart w:id="59" w:name="AuditStartDate1"/>
    <w:r>
      <w:rPr>
        <w:rFonts w:cs="Arial"/>
        <w:sz w:val="16"/>
        <w:szCs w:val="20"/>
      </w:rPr>
      <w:t>30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