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Benhaven Care Limited - Benhaven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Benhaven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Benhaven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April 2016</w:t>
      </w:r>
      <w:bookmarkEnd w:id="7"/>
      <w:r w:rsidRPr="009418D4">
        <w:rPr>
          <w:rFonts w:cs="Arial"/>
        </w:rPr>
        <w:tab/>
        <w:t xml:space="preserve">End date: </w:t>
      </w:r>
      <w:bookmarkStart w:id="8" w:name="AuditEndDate"/>
      <w:r w:rsidR="00A4268A">
        <w:rPr>
          <w:rFonts w:cs="Arial"/>
        </w:rPr>
        <w:t>28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Benhaven provides residential services for people with physical and intellectual disabilities and residents requiring rest home level care.  Nineteen of a potential twenty-one beds were occupied on the day of the audit.  The service is managed by a manager (a registered nurse) who has aged care experience and has been in the position for two years. </w:t>
      </w:r>
    </w:p>
    <w:p w:rsidRPr="00A4268A">
      <w:pPr>
        <w:spacing w:before="240" w:line="276" w:lineRule="auto"/>
        <w:rPr>
          <w:rFonts w:eastAsia="Calibri"/>
        </w:rPr>
      </w:pPr>
      <w:r w:rsidRPr="00A4268A">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and family interviewed praised the service for the support provided.  </w:t>
      </w:r>
    </w:p>
    <w:p w:rsidRPr="00A4268A">
      <w:pPr>
        <w:spacing w:before="240" w:line="276" w:lineRule="auto"/>
        <w:rPr>
          <w:rFonts w:eastAsia="Calibri"/>
        </w:rPr>
      </w:pPr>
      <w:r w:rsidRPr="00A4268A">
        <w:rPr>
          <w:rFonts w:eastAsia="Calibri"/>
        </w:rPr>
        <w:t>Improvements are required around meeting minutes, open disclosure and staff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staff at Benhaven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owner lives on-site and there is a manager (a registered nurse) who is supported by long serving staff.</w:t>
      </w:r>
    </w:p>
    <w:p w:rsidRPr="00A4268A">
      <w:pPr>
        <w:spacing w:before="240" w:line="276" w:lineRule="auto"/>
        <w:rPr>
          <w:rFonts w:eastAsia="Calibri"/>
        </w:rPr>
      </w:pPr>
      <w:r w:rsidRPr="00A4268A">
        <w:rPr>
          <w:rFonts w:eastAsia="Calibri"/>
        </w:rPr>
        <w:t xml:space="preserve">Organisational performance is monitored through a number of processes to ensure it aligns with the identified values, scope and strategic direction.  The business plan has goals documented.  There are policies and procedures that are appropriate to provide appropriate support and care to residents with physical and intellectual disability and rest home level needs.  There is a documented quality and risk management programme that is implemented.  </w:t>
      </w:r>
    </w:p>
    <w:p w:rsidRPr="00A4268A">
      <w:pPr>
        <w:spacing w:before="240" w:line="276" w:lineRule="auto"/>
        <w:rPr>
          <w:rFonts w:eastAsia="Calibri"/>
        </w:rPr>
      </w:pPr>
      <w:r w:rsidRPr="00A4268A">
        <w:rPr>
          <w:rFonts w:eastAsia="Calibri"/>
        </w:rPr>
        <w:t xml:space="preserve">Staff receives ongoing training and there is a training plan developed and commenced for 2016.  Rosters and interviews indicate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screened and approved prior to entry to the service.  The registered nurse is responsible for each stage of service provision.  The registered nurse assesses and reviews residents’ needs, outcomes and goals with the resident and/or family.  Resident files included medical notes and notes of other visiting allied health professionals.</w:t>
      </w:r>
    </w:p>
    <w:p w:rsidRPr="00A4268A" w:rsidP="00621629">
      <w:pPr>
        <w:spacing w:before="240" w:line="276" w:lineRule="auto"/>
        <w:rPr>
          <w:rFonts w:eastAsia="Calibri"/>
        </w:rPr>
      </w:pPr>
      <w:r w:rsidRPr="00A4268A">
        <w:rPr>
          <w:rFonts w:eastAsia="Calibri"/>
        </w:rPr>
        <w:t>Care plans document interventions to meet the assessed needs of residents and staff implement these.</w:t>
      </w:r>
    </w:p>
    <w:p w:rsidRPr="00A4268A" w:rsidP="00621629">
      <w:pPr>
        <w:spacing w:before="240" w:line="276" w:lineRule="auto"/>
        <w:rPr>
          <w:rFonts w:eastAsia="Calibri"/>
        </w:rPr>
      </w:pPr>
      <w:r w:rsidRPr="00A4268A">
        <w:rPr>
          <w:rFonts w:eastAsia="Calibri"/>
        </w:rPr>
        <w:t>The activities officer provides an interesting and varied activities programme for the residents. It includes outings and community involvement for the residents and accommodates their interests and needs. This programme meets the needs of younger disabled residents as well as aged residents.</w:t>
      </w:r>
    </w:p>
    <w:p w:rsidRPr="00A4268A" w:rsidP="00621629">
      <w:pPr>
        <w:spacing w:before="240" w:line="276" w:lineRule="auto"/>
        <w:rPr>
          <w:rFonts w:eastAsia="Calibri"/>
        </w:rPr>
      </w:pPr>
      <w:r w:rsidRPr="00A4268A">
        <w:rPr>
          <w:rFonts w:eastAsia="Calibri"/>
        </w:rPr>
        <w:t>Medication policies reflect legislative requirements and guidelines.  Staff responsible for administration of medicines complete annual education and medication competencies.  Medication charts have photo identification and allergy status noted.</w:t>
      </w:r>
    </w:p>
    <w:p w:rsidRPr="00A4268A" w:rsidP="00621629">
      <w:pPr>
        <w:spacing w:before="240" w:line="276" w:lineRule="auto"/>
        <w:rPr>
          <w:rFonts w:eastAsia="Calibri"/>
        </w:rPr>
      </w:pPr>
      <w:r w:rsidRPr="00A4268A">
        <w:rPr>
          <w:rFonts w:eastAsia="Calibri"/>
        </w:rPr>
        <w:t xml:space="preserve">All meals are prepared on-site.  Individual and special dietary needs are catered for and alternative options are available for residents with dislikes.  The menu has been reviewed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There is a staff member with a first aid certificate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 training on restraint minimisation and management of behaviours that challenge.  There are two residents using enablers and no residents using restraint.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There are infection prevention and control policies and procedures and a monitoring system in place.  Training of staff and information to residents is delivered regularly.  Infections are monitored and evaluated for trends and discussed at staff meetings.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97"/>
        <w:gridCol w:w="1280"/>
        <w:gridCol w:w="89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(three caregivers and the activities officer) confirmed their familiarity with the Code.  The residents (three rest home level, two with physical disabilities and two with intellectual disabilities) and two family members (rest home level) interviewed by the consumer auditor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informed consent and resuscitation and the service is committed to meeting the requirements of the Code of Health and Disability Services Consumers Rights.  There were signed general consents on all five resident files sampled.  Resuscitation treatment plans and advance directives were appropriately signed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documented advocate if they cannot self-advocate.  Contact numbers for advocacy services are included in the policy, in the resident information folder and in advocacy pamphlets that are available in each lounge.  Residents’ meetings include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can occur at any time.  Key people involved in the resident’s life have been documented in the resident files.  Residents verified that they have been supported and encouraged to remain involved in the community.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has been implemented and residents and their family/whānau are provided with information on admission.  Complaint forms are available at the key points throughout the service and in folders around the facility which are easy to find.  The residents and families interviewed were aware of the complaints process and to whom they should direct complaints.  The service has had no written complaints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including in formats suitable for people with intellectual disabilities.  Information is given to the family or the enduring power of attorney (EPOA) to read to and/or discuss with the resident.  Residents and relatives interviewed identified they are well-informed about the Code.  Resident meetings and surveys provide the opportunity to raise concerns.  Advocacy and Code of Rights information is included in the information pack and are available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House rules are signed by staff at commencement of employment.  </w:t>
              <w:br/>
              <w:t xml:space="preserve">Residents are supported to attend other churches if they wish.  Residents and relatives interviewed reported that residents are able to choose to engage in activities and access community resources.  There is an abuse and neglect policy and staff education around this has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heath plan and an individual’s values and beliefs policy which includes cultural safety and awareness.  There are three residents that identify as Māori and cultural needs are addressed in care plans.  Discussions with staff confirmed their understanding of the different cultural needs of residents and their whānau.  The service has established links with local Māori and staff confirmed they are aware of the need to respond appropriately to maintain cultural safety.  Staff have not had recent training around cultural safety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Job descriptions include responsibilities of the position and ethics, advocacy and legal issues.  The orientation programme provided to staff on induction includes an emphasis on dignity, privacy and boundaries.  The registered nurse (manager) has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aged care, physical disabilities and intellectual disabilities.  The quality programme has been designed to monitor contractual and standards compliance and the quality of service delivery in the facility.  Staffing policies include pre-employment and the requirement to attend orientation and ongoing in-service training.  The manager is responsible for coordinating the internal audit programme.  Staff meetings and residents meetings are conducted.  </w:t>
              <w:br/>
              <w:t xml:space="preserve">Residents and relatives interviewed spoke very positively about the care and support provided.  Staff interviewed had a sound understanding of principles of aged care and disability support and stated that they feel supported by the manager and the owner.  Caregivers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Relatives interviewed stated they are informed of changes in health status and incidents/accidents.  This was not consistently confirmed on incident forms reviewed.  Residents also stated they were welcomed on entry and were given time and explanation about services and procedures.  Resident meetings occur six monthly and the manager and owner have an open-door policy.  Aged care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Information meets the needs of those with intellectual and physical disabilities.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Benhaven provides residential services for people with physical and intellectual disabilities and residents requiring rest home level care.  On the day of the audit there were 19 residents.  One resident is private paying (not assessed as requiring care), eight are under the aged residential care agreement, three are under long term chronic conditions contracts, two are on respite (both aged care) and five are on young persons with disabilities contracts (two requiring physical disability support and three requiring intellectual disability support).  The organisation is overseen by an owner who was new to the industry when the facility was purchased in 2013 and has completed a level three certificate in disability and aged care support and has an MBA.  The owner and her husband live on-site.  The manager is a registered nurse with aged care experience who has been in the role for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well documented in the business plan and the progress toward previous goals has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owner has attended quarterly DHB provider meetings and has maintained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reported that in the event of her temporary absence the owner fills her role with support from a contracted ‘relief manager’ (a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facilitates the quality programme and ensures the internal audit schedules are implemented.  The internal audit schedule is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incident/accident and infection control data collection and complaints management.  All quality improvement data is discussed at monthly management meetings and all data except incidents is discussed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are relevant to the various service types offered and are reviewed two yearly.  These have been updated to include interRAI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managed and documented on the hazard register.  The manager is the designated health and safety officer and has completed training relating to this role.  Health and safety issues are discussed at every monthly management and staff meeting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 surveys conducted and analysed with corrective action plans developed when required.  The March 2016 resident survey demonstrated a very high level of satisfaction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Fourteen incidents sampled for March and April 2016 demonstrated appropriate documentation and clinical follow up.  Accidents and incidents are analysed monthly with results discussed at management meetings (link 1.2.3.6).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aware of situations that require statutory reporting.  An appropriate section 31 notification was made in February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sampled show appropriate employment practices and documentation.  Current annual practising certificates are kept on file.  The orientation package provides information and skills around working with residents with aged care, intellectual and physical disability related needs and was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However not all required training has been provided.  All five staff files sampled contained a current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on duty match needs of different shifts and needs of different individual residents.  There is an on-call system with a registered nurse (the manager or a ‘relief manager’ (also a registered nurse)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interviewed confirmed that staffing levels are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Files and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are in hard copy and stored where they cannot be accessed by people not authorised to do so.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Medication charts are in a separate folder with medication and this is appropriate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is completed on admission.  The service has specific information available for residents/families/whānau at entry and it includes associated information such as the H&amp;D Code of Rights, advocacy and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describe guidelines for death, discharge, transfer, documentation and follow up.  A record is kept and a copy of details is kept on the resident’s file.  All relevant information is documented and communicated to the receiving health provider or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and practice align with accepted guidelines.  The registered nurse and caregivers are responsible for the administration of medications.  No residents self-medicate.  Medications are delivered to the site by the pharmacist.  Robotic rolls delivered monthly are checked and signed in by the registered nurse.  The medication room was free from heat, moisture and light, with medicines stored in original dispensed packs, in a secure manner.  Ten medicine charts were reviewed.  Medicine charts listed all medications the resident was taking, including name, dose, frequency and route to be given.  Charts were signed by the GP.  All entries were dated and allergies recorded.  All charts had photo identification.  Three monthly GP reviews were evident.  Eye drops were dated on opening.  The medication fridge temperature was monitored.</w:t>
            </w:r>
          </w:p>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was observed during lunchtime.  The staff member followed recommended guidelines.  Annual competencies were undertaken for the administration of medications including the giving of insulin.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Two cooks cover the seven day week.  Both have completed food safety units.  There is a three week rotating menu for summer and winter which has been reviewed by a dietitian.  The meals are served from the kitchen directly to residents in the dining room.  The cook receives notification of any dietary changes and requirements.  Dislikes and food allergies are known and accommodated.  Residents interviewed spoke positively about the meals and food provided.</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recorded daily.  All foods were dated and stored correctly.  A cleaning schedule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an adequate documented process for the management of declines to entry into the facility.  The manager (registered nurse) assessed the suitability of residents.  When residents were not suitable for placement at the service, the family and/or the resident were referred to other facilities,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risk assessments were completed in a timely manner using appropriate tools to meet all resident’s needs.  InterRAI assessments and summary reports were in place for five of the five resident files reviewed.  The long-term care plans in place reflected the outcome of the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completed six monthly or earlier due to changes in health status.  Three of five resident files sighted had been reviewed within six months following an interRAI assessment, one was on respite and one resident had not been at the service six months.  Short-term care plans were not used routinely, instead the long-term care plan was updated and a document was in place to alert staff that changes to the care plan had been made.  This document is part of handover.  Staff sign the document once they have read the updated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sampled described the resident goals, supports and interventions required to meet desired goals as identified during the ongoing assessment process.  There is documented evidence of resident and/or family input ensuring a resident focused approach to care.  Residents confirmed on interview they are involved in the care planning and review process.  There was evidence of allied health care professionals involved in the care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arranges a GP visit.  There is evidence of three monthly medical reviews or earlier for health status changes.  Residents interviewed confirm care delivery and support by staff is consistent with their expectations.  Resident files reviewed included communication with family records.</w:t>
            </w:r>
          </w:p>
          <w:p w:rsidR="00EB7645" w:rsidRPr="00BE00C7" w:rsidP="00BE00C7">
            <w:pPr>
              <w:pStyle w:val="OutcomeDescription"/>
              <w:spacing w:before="120" w:after="120"/>
              <w:rPr>
                <w:rFonts w:cs="Arial"/>
                <w:b w:val="0"/>
                <w:lang w:eastAsia="en-NZ"/>
              </w:rPr>
            </w:pPr>
            <w:r w:rsidRPr="00BE00C7">
              <w:rPr>
                <w:rFonts w:cs="Arial"/>
                <w:b w:val="0"/>
                <w:lang w:eastAsia="en-NZ"/>
              </w:rPr>
              <w:t>Staff support there is adequate continence and dressing supplies.  On the day of audit supplies of these products were sighted.  There was one chronic wound being treated at the time of audit.  Wound assessments had been completed with ongoing evaluations documented.  There is evidence of GP, podiatrist, nutritionist and vascular surgeon involvement in the chronic wound management.  There were no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document appropriate interventions to manage clinical risk such as poor mobility, falls, skin integrity, weight loss and when appropriate management of hyperglycaemia and hypoglycaemia.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officer for 11 hours per week.  The programme is flexible with involvement by several team members and caters to the varying needs of the individual residents (a number are well set up to continue their own individual activities as they please).  The monthly programme is available for all to view and includes weekly van outings (the site has a van), weekly music sessions, quizzes, bingo, exercises, craft and numerous outings for individual residents to follow their interests, for example:-  to the community men’s shed and their own church.  Family are welcome to join in activities and were sighted doing so at audit.  The programme caters to the needs of both aged care and younger residents.  Residents interviewed spoke positively about the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on admission, attendance records are maintained, a monthly report is written for each resident and activities are reviewed along with the care plan six monthly.</w:t>
            </w:r>
          </w:p>
          <w:p w:rsidR="00EB7645" w:rsidRPr="00BE00C7" w:rsidP="00BE00C7">
            <w:pPr>
              <w:pStyle w:val="OutcomeDescription"/>
              <w:spacing w:before="120" w:after="120"/>
              <w:rPr>
                <w:rFonts w:cs="Arial"/>
                <w:b w:val="0"/>
                <w:lang w:eastAsia="en-NZ"/>
              </w:rPr>
            </w:pPr>
            <w:r w:rsidRPr="00BE00C7">
              <w:rPr>
                <w:rFonts w:cs="Arial"/>
                <w:b w:val="0"/>
                <w:lang w:eastAsia="en-NZ"/>
              </w:rPr>
              <w:t>Residents input on what they would like included in the programme is encouraged.  A survey was undertaken November 2015 providing each resident with a list of possible activities for them to select which ones they wanted included in the programme and space for comments for any additional activities they may like.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assessment/care plans sighted have been evaluated by the registered nurse within three weeks of admission.  InterRAI assessments are completed six monthly or earlier due to changes in health status.  Three of five resident files sighted had been reviewed within six months following an interRAI assessment, one was on respite and one resident had not been at the service six months.  Long-term care plans were updated when changed occurred and a document was in place to alert staff that changes to the care plan had been made.  This document is part of handover.  Staff sign the document once they have read the updated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registered nurse, activities person, resident and families are involved in the review.  If families were not involved, evidence was sighted of families being offered the opportunity.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stated that residents were supported to access or be referred to other health and disability providers.  The review of resident records included evidence of recent external referrals and/or access to general practitioner, neuropsychology unit, physiotherapist, community occupational therapist, nutritionist, podiatrist, dentist and dental hygienist.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Chemicals are stored in designated locked cupboards.  Chemicals are labelled and safety data sheets were viewed by the laundry/sluice area and in the kitchen.  Gloves, aprons, masks and googles (PPE) are available for staff.  Staff interviewed confirmed they can access PPE at any time and were observed wearing disposable gloves and aprons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building warrant of fitness which expires 28 September 2016.  The maintenance person lives on-site and is available 24/7.  The environment and the building is well maintained.  A planned maintenance schedule is in place.  Electrical safety testing occurs (undertaken November 2016) and calibration of scales (due May 2016) is undertaken.  Corridors are kept clear of clutter and the flooring is in good condition.</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external sitting areas with or without shade and access to the garden area.  Pathways, seating and grounds appear well maintained.  There is a designated smoking area outside.</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 environment is suitable for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 and showering facilities.  The communal facilities have a system that indicates if it is engaged or vacant and can be locked by the person within, with the ability of staff to access if necessary.  Appropriately secured and approved handrails are provided in the toilet/shower areas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Residents interviewed spoke positively about their rooms.  Equipment required for residents (e.g. hoist) was sighted in their room with sufficient space for safe handling by two staff.  Rooms can be personalised with furnishings, photos and other personal adornments and the service encouraged residents to make the room their own.  Where the room is shared (with the agreement of residents and families), privacy is maintained by curtaining.  There was room to store mobility aids such as walking frames in the bedroom safely during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lounge/dining area, a second lounge area and sunroom that are easily accessed and provide alternative areas for quiet space or activities.  Furniture is appropriate to the setting and arranged in a manner which enables residents to mobilise freely but to also interact if they wish.  Activities occur in the lounges, dining room and outside.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in place for cleaning and staff responsibilities in relation to cleaning are documented.  All cleaning products are labelled and there is secure chemical storage, instructions for chemical use and safety data sheets.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including residents’ personal laundry, is completed on-site.  The laundry contains the sluice.  Staff interviewed were able to describe best practice working in the space available.  The state of cleanliness of the site and all equipment was high.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There is a New Zealand Fire Service approved evacuation scheme.  A fire evacuation drill was last undertaken in April 2016. </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of food and water are maintained.  These are checked and refreshed routinely.  A barbeque is maintained with two gas bottles should it be needed.  Additional supplies of products such as incontinence products and gloves are stored.</w:t>
            </w:r>
          </w:p>
          <w:p w:rsidR="00EB7645" w:rsidRPr="00BE00C7" w:rsidP="00BE00C7">
            <w:pPr>
              <w:pStyle w:val="OutcomeDescription"/>
              <w:spacing w:before="120" w:after="120"/>
              <w:rPr>
                <w:rFonts w:cs="Arial"/>
                <w:b w:val="0"/>
                <w:lang w:eastAsia="en-NZ"/>
              </w:rPr>
            </w:pPr>
            <w:r w:rsidRPr="00BE00C7">
              <w:rPr>
                <w:rFonts w:cs="Arial"/>
                <w:b w:val="0"/>
                <w:lang w:eastAsia="en-NZ"/>
              </w:rPr>
              <w:t>Site security procedures are in place with the site being secured between 8pm and 7am.  Two signed security checks are undertaken during this period.  Admission during these hours is at the main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call system throughout the facility which is readily available to residents, e.g. extended cords so they are within reach.  Same tested at audit and staff responded.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light and well ventilated.  The site is divided into two for central heating.  Staff can modify the temperatures.  Smoking is only permitted outside in the designated covered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Benhaven has an established infection control (IC) programme.  The infection control programme is appropriate for the size, complexity and degree of risk associated with the service.  The manager (a registered nurse) is the designated infection control person with support from all staff.  Infection control matters are discussed at all staff meetings and management meetings.  Education has been provided for staff.  The infection control programme has not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Benhaven.  The infection control (IC) person has maintained her practice by attending external updates.  The infection control team is all staff through the 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person has completed external updates and provides staff in-service education which has occurred in 2015.  Education is provided to residents in the course of daily support with all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manager is the designated infection control person.  Monthly infection data is collected for all infections based on signs and symptoms of infection.  Surveillance of all infections is entered on to a monthly summary and then analysed and reported to staff and management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includes that restraint is only used as a last resort.  There were no residents at the time of the audit using restraint.  There are two residents using lap belts in wheelchairs when off the facility grounds as enabler.  The restraint policy includes a definition of enablers as voluntarily using equipment to maintain independence such as a lap belt in a wheelchair.  The two files sampled for residents with enablers have an enabler consent form signed by the resident to demonstrate consent.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3"/>
        <w:gridCol w:w="1280"/>
        <w:gridCol w:w="5282"/>
        <w:gridCol w:w="2486"/>
        <w:gridCol w:w="17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and manager interviewed report ongoing open communication with residents in a small friendly environment.  Eleven of fourteen incidents sighted either documented that family were informed, or the resident did not have family to inform.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fourteen incidents did not document that the family were informed of the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family are informed of incidents where family are available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staff meetings are held and minuted and all aspects of the quality programme except incidents are covered in these meetings.  Aspects covered include previous issues, restraint, complaints, health and safety, internal audit outcomes and infection control surveillance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data is not discussed at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outcomes of incident/accident data analysis are discussed with all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education plan.  Training is provided monthly at the time of the staff meeting and a record of attendees is kept.  Not all required topics have been included in training 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not received recent training around cultural safety, wound management (caregivers dress simple wounds) or skin integrity.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required education topics are included in the education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trends are analysed monthly and infection numbers are low.  There has been no annual review of the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infection control programme is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Benhaven Care Limited - Benhaven Rest Home</w:t>
    </w:r>
    <w:bookmarkEnd w:id="58"/>
    <w:r>
      <w:rPr>
        <w:rFonts w:cs="Arial"/>
        <w:sz w:val="16"/>
        <w:szCs w:val="20"/>
      </w:rPr>
      <w:tab/>
      <w:t xml:space="preserve">Date of Audit: </w:t>
    </w:r>
    <w:bookmarkStart w:id="59" w:name="AuditStartDate1"/>
    <w:r>
      <w:rPr>
        <w:rFonts w:cs="Arial"/>
        <w:sz w:val="16"/>
        <w:szCs w:val="20"/>
      </w:rPr>
      <w:t>28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