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Rosebank Residential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Rosebank Residential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Rosebank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May 2016</w:t>
      </w:r>
      <w:bookmarkEnd w:id="7"/>
      <w:r w:rsidRPr="009418D4">
        <w:rPr>
          <w:rFonts w:cs="Arial"/>
        </w:rPr>
        <w:tab/>
        <w:t xml:space="preserve">End date: </w:t>
      </w:r>
      <w:bookmarkStart w:id="8" w:name="AuditEndDate"/>
      <w:r w:rsidR="00A4268A">
        <w:rPr>
          <w:rFonts w:cs="Arial"/>
        </w:rPr>
        <w:t>12 May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Addition of hospital - medical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Rosebank home and hospital is a privately owned aged care facility.  Rosebank home and hospital provides care to up to 100 rest home and hospital level residents.  On the day of audit, there were 86 residents. </w:t>
      </w:r>
    </w:p>
    <w:p w:rsidRPr="00A4268A">
      <w:pPr>
        <w:spacing w:before="240" w:line="276" w:lineRule="auto"/>
        <w:rPr>
          <w:rFonts w:eastAsia="Calibri"/>
        </w:rPr>
      </w:pPr>
      <w:r w:rsidRPr="00A4268A">
        <w:rPr>
          <w:rFonts w:eastAsia="Calibri"/>
        </w:rPr>
        <w:t xml:space="preserve">Residents and families interviewed were very complimentary of the care and support provided.  The general manager and clinical manager are well qualified for their roles.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management, general practitioner and staff.</w:t>
      </w:r>
    </w:p>
    <w:p w:rsidRPr="00A4268A">
      <w:pPr>
        <w:spacing w:before="240" w:line="276" w:lineRule="auto"/>
        <w:rPr>
          <w:rFonts w:eastAsia="Calibri"/>
        </w:rPr>
      </w:pPr>
      <w:r w:rsidRPr="00A4268A">
        <w:rPr>
          <w:rFonts w:eastAsia="Calibri"/>
        </w:rPr>
        <w:t xml:space="preserve">The service has addressed eight of ten previous findings from the certification audit relating to: resuscitation consent forms, complaints process, quality systems, incident and accident forms, staff training, resident assessments, monitoring of residents and self-medicating residents.   </w:t>
      </w:r>
    </w:p>
    <w:p w:rsidRPr="00A4268A">
      <w:pPr>
        <w:spacing w:before="240" w:line="276" w:lineRule="auto"/>
        <w:rPr>
          <w:rFonts w:eastAsia="Calibri"/>
        </w:rPr>
      </w:pPr>
      <w:r w:rsidRPr="00A4268A">
        <w:rPr>
          <w:rFonts w:eastAsia="Calibri"/>
        </w:rPr>
        <w:t xml:space="preserve">Further improvements are required in relation to documented interventions and medication management.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families are kept informed on all aspects of the service and resident health.  Residents and their family are provided with information on the complaints process on admission.  Complaints are being managed in a timely manner.  Staff are aware of the complaints process and to whom they should direct complaints.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An experienced general manager, who has been in the role for over ten years, manages the service.  An experienced clinical manager (registered nurse) supports her in her role.  Quality management processes are reflected in the businesses plans, goals and objectives, and policies.  A risk management programme is in place, which includes a risk management plan, incident and accident reporting and health and safety processes.  Staff document incidents and accidents.  </w:t>
      </w:r>
    </w:p>
    <w:p w:rsidRPr="00A4268A">
      <w:pPr>
        <w:spacing w:before="240" w:line="276" w:lineRule="auto"/>
        <w:rPr>
          <w:rFonts w:eastAsia="Calibri"/>
        </w:rPr>
      </w:pPr>
      <w:r w:rsidRPr="00A4268A">
        <w:rPr>
          <w:rFonts w:eastAsia="Calibri"/>
        </w:rPr>
        <w:t xml:space="preserve">Residents receive appropriate services from suitably qualified staff.  Recruitment is managed in accordance with good employment practice and meeting legislative requirements.  An orientation programme is in place for new staff with ongoing education and training provided.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InterRAI assessments are being implemented and paper based assessment tools are used on admission and thereafter.  Assessments, care plans and care plan evaluations are completed by registered nurses.  A diversional therapist and recreation assistant plan and implement an integrated activity programme.  There are outings into the community and visiting entertainers.  The service uses an electronic medication management system.  All meals are prepared and cooked onsite in a commercial kitchen.  Resident’s individual dietary needs were identified and accommodated.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is displayed.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are documented and implemented policies and procedures around restraint use and use of enablers.  There were three residents with restraint and one with an enabler.  Restraint audits, training and competencies for staff have been completed.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is appropriate for the size, complexity and degree of risk associated with the service.  The infection control coordinator (registered nurse) monitors infection rates.  Surveillance activities include audits of the facility, hand hygiene and surveillance of infection control events and infections.  Staff receive ongoing training on infection control.  No outbreaks have been reported.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95"/>
        <w:gridCol w:w="1280"/>
        <w:gridCol w:w="986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in place a policy for informed consent and resuscitation and is committed to meeting the requirements of the Code of Health and Disability Services and Consumers’ Rights.  Review of resident files identified that general consents were signed as part of the admission agreement.  Five resuscitation forms (three hospital and two rest home) had been signed appropriately. The service has addressed this previous finding. All five files had a signed admission agreement.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caregivers confirmed that they were familiar with the requirements to obtain informed consent for personal care and entering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Information about complaints is provided on admission.  Residents confirmed their understanding of the complaints process.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register includes verbal and written complaints.  The service has addressed this previous finding.  There is evidence to confirm that the three complaints received in 2015 (none received for 2016) have been managed in a timely manner, including acknowledgement, investigation, timeliness, and corrective actions (when required) and resolutions.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open disclosure policy in place.  The admission pack provides a range of information regarding the scope of service provided to the resident and any items they have to pay for that is not covered by the agreement.  An interpreter is provided as required.  Regular contact is maintained with family, including if an incident or care/health issue arises.  This was documented on the accident/incident forms sampled and family consultation record in the resident files.  Two hospital and two rest home relatives and five residents (three rest home and two hospital) stated they were well informed.  There are six monthly residents’ meetings where any issues or concerns to residents can be discussed.  Interpreter services can be accessed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Rosebank home and hospital is privately owned, and governed by a board.  The service provides care for up to 100 residents and all beds are dual-purpose beds.  The service is currently certified for hospital services - geriatric and rest home level care. Hospital medical services were applied for on the day of audit.  The service has been verified as part of this audit as suitable to provide medical services under their hospital certification. On the day of the audit, there were 86 residents - 50 residents at rest home level and 36 residents at hospital level including one hospital medical resident on an end of life contract. All other residents were on the age related contract.</w:t>
            </w:r>
          </w:p>
          <w:p w:rsidR="00EB7645" w:rsidRPr="00BE00C7" w:rsidP="00BE00C7">
            <w:pPr>
              <w:pStyle w:val="OutcomeDescription"/>
              <w:spacing w:before="120" w:after="120"/>
              <w:rPr>
                <w:rFonts w:cs="Arial"/>
                <w:b w:val="0"/>
                <w:lang w:eastAsia="en-NZ"/>
              </w:rPr>
            </w:pPr>
            <w:r w:rsidRPr="00BE00C7">
              <w:rPr>
                <w:rFonts w:cs="Arial"/>
                <w:b w:val="0"/>
                <w:lang w:eastAsia="en-NZ"/>
              </w:rPr>
              <w:t>An experienced general manager, who has been in the role for over ten years, manages the service.  The general manager reports monthly to the board on a variety of management issues.  The current strategic plan and quality and risk management plans are being implemented.  The general manager receives support from a clinical manager, education coordinator, quality/health and safety/infection control coordinator, registered nurses and care staff.  Building and refurbishment work has commenced to enlarge, refurbish and add ensuites to 16 rooms in the rest home wing.  On the day of audit, ten beds were closed and undergoing refurbishment.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and risk management plan is in place.  Policies and procedures reflect evidence of regular reviews as per the document control schedule.  There is a 2016 risk plan, a quality plan, and business plan. The quality plan and the business plan include specific KPIs around clinical quality and the business plan has additional financial KPIs.</w:t>
            </w:r>
          </w:p>
          <w:p w:rsidR="00EB7645" w:rsidRPr="00BE00C7" w:rsidP="00BE00C7">
            <w:pPr>
              <w:pStyle w:val="OutcomeDescription"/>
              <w:spacing w:before="120" w:after="120"/>
              <w:rPr>
                <w:rFonts w:cs="Arial"/>
                <w:b w:val="0"/>
                <w:lang w:eastAsia="en-NZ"/>
              </w:rPr>
            </w:pPr>
            <w:r w:rsidRPr="00BE00C7">
              <w:rPr>
                <w:rFonts w:cs="Arial"/>
                <w:b w:val="0"/>
                <w:lang w:eastAsia="en-NZ"/>
              </w:rPr>
              <w:t>Monitoring of the quality and risk plan is through a series of meetings and reports.  This includes a monthly report by the general manager to the board, which includes copies of the monthly registered nurse and monthly quality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meetings including quarterly staff meetings, monthly registered nurse and monthly quality meetings document discussion and follow-up of quality data, incidents and accidents, health and safety, infection control, complaints (where they occur) and restraint (as needed). </w:t>
            </w:r>
          </w:p>
          <w:p w:rsidR="00EB7645" w:rsidRPr="00BE00C7" w:rsidP="00BE00C7">
            <w:pPr>
              <w:pStyle w:val="OutcomeDescription"/>
              <w:spacing w:before="120" w:after="120"/>
              <w:rPr>
                <w:rFonts w:cs="Arial"/>
                <w:b w:val="0"/>
                <w:lang w:eastAsia="en-NZ"/>
              </w:rPr>
            </w:pPr>
            <w:r w:rsidRPr="00BE00C7">
              <w:rPr>
                <w:rFonts w:cs="Arial"/>
                <w:b w:val="0"/>
                <w:lang w:eastAsia="en-NZ"/>
              </w:rPr>
              <w:t>There are a series of quality improvement plans in place including; new care plan templates being implemented, continence care, pressure injury prevention, falls prevention, pain management, and the rollout of medication management software.  The service has implemented additional medication audits and follow-up whilst the medication management system is embedding.  This is to ensure safe practice and to support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completes internal audits as per the annual audit programme.  Corrective actions have been developed for all opportunities for improvements identified through quality activities. </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discussion and quality data is incorporated into the monthly quality improvement meetings, and health and safety meeting (minutes sighted).  Staff complete hazard identification forms for identified/potential hazards.  A current hazard register is in place.</w:t>
            </w:r>
          </w:p>
          <w:p w:rsidR="00EB7645" w:rsidRPr="00BE00C7" w:rsidP="00BE00C7">
            <w:pPr>
              <w:pStyle w:val="OutcomeDescription"/>
              <w:spacing w:before="120" w:after="120"/>
              <w:rPr>
                <w:rFonts w:cs="Arial"/>
                <w:b w:val="0"/>
                <w:lang w:eastAsia="en-NZ"/>
              </w:rPr>
            </w:pPr>
            <w:r w:rsidRPr="00BE00C7">
              <w:rPr>
                <w:rFonts w:cs="Arial"/>
                <w:b w:val="0"/>
                <w:lang w:eastAsia="en-NZ"/>
              </w:rPr>
              <w:t>The previous audit findings relating to recording and communication of quality data have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a comprehensive set of data relating to adverse, unplanned and untoward events.  This includes incident and accident information reported by staff on a paper based system.  Incident and accident data is collected and analysed monthly.  Discussions with the service confirmed that there is an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sample of ten resident related incident reports for April 2016 were reviewed.  All incident forms documented registered nurse review and follow up.  This included neurological observations, and 24-hour post-falls checks and ongoing assessments.  The previous audit finding has been addressed.  Two residents with high falls were followed up through to progress notes and care plans.  Both documented very good follow-up, and falls prevention strategies were documented in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are available for all relevant positions that describe staff roles, responsibilities and accountabilities.  Practising certificates reviewed were current.  Six staff files were reviewed (two registered nurses, three caregivers and one cook).  Evidence of signed employment contracts, job descriptions, orientation and training were in the files reviewed.  Annual performance appraisals have been conducted for all staff as they fall due.  Newly appointed staff complete an orientation that is specific to their job description.  Care staff interviewed described the orientation programme that includes a period of supervision.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annual training schedule for in-service education.  External training is available for RNs.  Education has been provided and attendance recorded.  Staff complete competencies relevant to their roles.  Five registered nurses are trained and competent in the use of the InterRAI assessment tool.  The previous audit finding related to staff training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Rosebank home and hospital has a four weekly roster in place, which provides sufficient staffing cover for the provision of care and services to residents.  There is a full time clinical manager and at least one registered nurse on duty at all times.  The fulltime general manager is also a registered nurse.  Caregivers, residents and family interviewed advised that sufficient staff are rostered on for each shift.  All registered nurses have been trained in first aid and CPR.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Twelve medication charts were reviewed and all prescription charts had indications for use for ‘as required’ medication, and this is an improvement on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monthly or as required.  Registered nurses administer medication in the hospital and registered nurses or medication competent caregivers in the rest home.  Medication keys were kept with the senior caregiver or RN; this is an improvement on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no residents self-administering medication.  Staff interviewed confirmed that the self-medication management system is reviewed and they are aware of requirement around self-medication assessment and monitoring.  The previous audit finding has now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fridge temperatures are monitored.  </w:t>
            </w:r>
          </w:p>
          <w:p w:rsidR="00EB7645" w:rsidRPr="00BE00C7" w:rsidP="00BE00C7">
            <w:pPr>
              <w:pStyle w:val="OutcomeDescription"/>
              <w:spacing w:before="120" w:after="120"/>
              <w:rPr>
                <w:rFonts w:cs="Arial"/>
                <w:b w:val="0"/>
                <w:lang w:eastAsia="en-NZ"/>
              </w:rPr>
            </w:pPr>
            <w:r w:rsidRPr="00BE00C7">
              <w:rPr>
                <w:rFonts w:cs="Arial"/>
                <w:b w:val="0"/>
                <w:lang w:eastAsia="en-NZ"/>
              </w:rPr>
              <w:t>A warfarin prescription had not been signed by the GP and on review of medication room, there was a container of un-named pills on the medication trolley.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Rosebank are prepared and cooked on site.  A dietitian has reviewed a four weekly seasonal menu.  Meals are delivered in hot boxes to the hospital dining area.  A bain-marie is used for the serving of meals.  The cook interviewed was aware of resident dietary needs and has been notified of any changes.  Resident likes and dislikes are accommodated and cultural and religious food preferences are met.  Specialised utensils and crockery are available for use to promote resident independence with meals.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 alternative choices are offered for dislikes, and expressed satisfaction with the meals.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and chiller temperatures are taken and recorded daily.  End cooked food temperatures are taken on the midday meal.  Cleaning schedules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are stored safely.  Staff were observed to be wearing correct personal protective clothing.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services staff have completed training in food safety and hygiene and chemical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initial support plan is developed with information from the initial assessment, medical and discharge information.  The resident/relatives are involved in the development of the initial assessment.  Risk assessment tools and the InterRAI tool are used to identify the required needs and interventions required to meet resident goals.  All resident files reviewed had paper based and InterRAI assessments in place.  The service has addressed the previous audit finding.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Medical notes, allied health professionals entries, recordings, significant events and communication with families were well documented.  Not all files reviewed showed that long-term care plans documented interventions and clear direction to staff.  Information recorded in progress notes was not fully reflected in the care plans. This remains a finding from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interview, a GP confirmed that care provided is of a high standard, and GPs are kept informed.  Family members agreed that care is provided consistent with their resident’s needs and that they were involved in the care planning.  Care staff interviewed stated that there is adequate equipment provided including continence and wound care supplies.  Wound assessment, wound management and evaluation forms were in place for two wounds in the rest home and four wounds, and four pressure injuries in the hospital.  Wound management and monitoring has occurred as planned.  All wounds have appropriate care documented and provided, including pressure relieving equipment.  Access to specialist advice and support is available as needed.  </w:t>
            </w:r>
          </w:p>
          <w:p w:rsidR="00EB7645" w:rsidRPr="00BE00C7" w:rsidP="00BE00C7">
            <w:pPr>
              <w:pStyle w:val="OutcomeDescription"/>
              <w:spacing w:before="120" w:after="120"/>
              <w:rPr>
                <w:rFonts w:cs="Arial"/>
                <w:b w:val="0"/>
                <w:lang w:eastAsia="en-NZ"/>
              </w:rPr>
            </w:pPr>
            <w:r w:rsidRPr="00BE00C7">
              <w:rPr>
                <w:rFonts w:cs="Arial"/>
                <w:b w:val="0"/>
                <w:lang w:eastAsia="en-NZ"/>
              </w:rPr>
              <w:t>Care plans documented there was allied health input.  Resident’s weight is monitored at least monthly.  Specialist interventions were documented in files and followed up appropriately. Monitoring of pain relief given was completed.  Two residents with behaviour that challenges (one hospital, one rest home) had de-escalation techniques documented, and neurological observations are completed for potential head injuries.  Observations are clearly documented through to the next shift following post-incident.  The service has addressed this previous audit finding.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continues to employ a qualified diversional therapist (DT) and activity assistant to coordinate and implement activities for the rest home and hospital residents Monday to Saturday.  The programme is integrated and on three days of the week, there are two options of activities for residents to attend.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offers variety and interest with entertainment and outings.  Residents were able to participate in a range of activities that were appropriate to their cognitive and physical capabilities.  Community links are maintained with groups such as churches, pre-schools, kapa haka groups, RSA and inter-home bowls and get-togethers.  One-on-one time is spent with residents who are unable or choose not to participate in group activities.  The three monthly resident meetings provide residents the opportunity to feedback on the activity programme.  The activity team also make daily contact with residents.              </w:t>
            </w:r>
          </w:p>
          <w:p w:rsidR="00EB7645" w:rsidRPr="00BE00C7" w:rsidP="00BE00C7">
            <w:pPr>
              <w:pStyle w:val="OutcomeDescription"/>
              <w:spacing w:before="120" w:after="120"/>
              <w:rPr>
                <w:rFonts w:cs="Arial"/>
                <w:b w:val="0"/>
                <w:lang w:eastAsia="en-NZ"/>
              </w:rPr>
            </w:pPr>
            <w:r w:rsidRPr="00BE00C7">
              <w:rPr>
                <w:rFonts w:cs="Arial"/>
                <w:b w:val="0"/>
                <w:lang w:eastAsia="en-NZ"/>
              </w:rPr>
              <w:t>Activity assessments were completed on admission in the resident files sampled.  Activity plans and care plans were reviewed at the same time.  The DT maintains activity progress notes in the integrated files.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DT attends regional meetings and on-site education.  The DT and activity assistant have current first aid certificates.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had been evaluated by registered nurses six monthly, or when changes to care occurred.  InterRAI assessments have been utilised in conjunction with the six monthly reviews.  Short-term care plans for short-term needs were evaluated and either resolved or added to the long-term care plan as an ongoing problem.  There is at least a three monthly review by the medical practitioner.  The family members interviewed confirmed they are informed of all changes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monitoring is the responsibility of the infection control coordinator (registered nurse).  The infection control policy describes routine monthly infection surveillance and reporting.  Monthly surveillance activities are appropriate to the acuity, risk and needs of the residents.  Monthly infection data is collected for all infections based on signs and symptoms of infection.  Individual resident infection forms are completed which includes signs and symptoms of infection, treatment, follow-up, review and resolution.   Infection control is discussed at management meetings/quality meetings, clinical meetings and staff handovers.  There have been no outbreaks reported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around the use of restraints and enablers that align with the standard.  The clinical manager is the restraint coordinator.  There are two hospital and one rest home residents with a bedrail restraint and one rest home resident with a bedrail enabler.   Staff have received training around restraint minimisation, the management of challenging behaviour and completed restraint competencies.  Enablers are voluntary.  Two resident files were reviewed and evidenced that both restraints and enablers are managed with the same documentation.</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99"/>
        <w:gridCol w:w="1280"/>
        <w:gridCol w:w="4495"/>
        <w:gridCol w:w="3583"/>
        <w:gridCol w:w="13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charts were on a computer software system with documented three monthly GP reviews.  As required medications had been signed for on administration, as well as the time of administration and the efficacy of the medication had been documented.  Warfarin prescriptions were not always signed and unnamed medication was viewed on the medication trolley.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One hospital level resident with warfarin prescribed did not have a signed medication order for the variable dose.  ii) On review of the medication room in the rest home, there was an unlabelled bottle of medications on the medication trolley.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medication orders are signed-for.  ii) Ensure that all medications are administered in a safe manner.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continues to implement a new care plan template.  New care plans include care protocols such as pressure injury care, skincare and falls management.  The service has developed daily support plans to assist caregiver access to essential care needs for residents.  Three of five care plans evidenced that all care interventions were documented in care plans.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hospital resident had no interventions for identified pain. One rest home resident had weight loss identified in the care plan but no interventions for weight loss or monitoring of meal intake.  Progress notes for this resident also identified incontinence however, the care plan stated fully continent.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care plan interventions address all assessed risk and identified problems.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Rosebank Residential Limited</w:t>
    </w:r>
    <w:bookmarkEnd w:id="58"/>
    <w:r>
      <w:rPr>
        <w:rFonts w:cs="Arial"/>
        <w:sz w:val="16"/>
        <w:szCs w:val="20"/>
      </w:rPr>
      <w:tab/>
      <w:t xml:space="preserve">Date of Audit: </w:t>
    </w:r>
    <w:bookmarkStart w:id="59" w:name="AuditStartDate1"/>
    <w:r>
      <w:rPr>
        <w:rFonts w:cs="Arial"/>
        <w:sz w:val="16"/>
        <w:szCs w:val="20"/>
      </w:rPr>
      <w:t>11 May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