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V and C D Hodson - Westella Homestead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V and C D Hodson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Westella Homestead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May 2016</w:t>
      </w:r>
      <w:bookmarkEnd w:id="7"/>
      <w:r w:rsidRPr="009418D4">
        <w:rPr>
          <w:rFonts w:cs="Arial"/>
        </w:rPr>
        <w:tab/>
        <w:t xml:space="preserve">End date: </w:t>
      </w:r>
      <w:bookmarkStart w:id="8" w:name="AuditEndDate"/>
      <w:r w:rsidR="00A4268A">
        <w:rPr>
          <w:rFonts w:cs="Arial"/>
        </w:rPr>
        <w:t>12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provider is transitioning from rest home and dementia level care to dementia level care only.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Westella Homestead provides residential care for up to 26 residents who require rest home and rest home dementia care.  The service provider is transitioning from rest home and dementia level care to dementia level care only. Occupancy was 25 during this audit.  The facility is owned by M V and C D Hodson Partnership.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service’s contract with the District Health Board (DHB). The audit process included the review of policies and procedures, review of resident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Four areas were identified as requiring improvement.  The improvements relate to staff education, general practitioner reviews within the required timeframes, care planning documentation and aspects of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all accessible. This information is brought to the attention of residents (where able), and their families on admission to the facility. Residents and family members confirmed their rights were being met, staff are respectful of their needs and communication was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Written consent is gained as required. Residents and family members are provided with information prior to giving informed consent and time is provided if any discussions or explanations are required. </w:t>
      </w:r>
    </w:p>
    <w:p w:rsidRPr="00A4268A">
      <w:pPr>
        <w:spacing w:before="240" w:line="276" w:lineRule="auto"/>
        <w:rPr>
          <w:rFonts w:eastAsia="Calibri"/>
        </w:rPr>
      </w:pPr>
      <w:r w:rsidRPr="00A4268A">
        <w:rPr>
          <w:rFonts w:eastAsia="Calibri"/>
        </w:rPr>
        <w:t xml:space="preserve">Staff receive regular and ongoing training on resident rights and how these should be implemented on a daily basis. Services are provided that respect the independence, personal privacy, individual needs and dignity of residents. </w:t>
      </w:r>
    </w:p>
    <w:p w:rsidRPr="00A4268A">
      <w:pPr>
        <w:spacing w:before="240" w:line="276" w:lineRule="auto"/>
        <w:rPr>
          <w:rFonts w:eastAsia="Calibri"/>
        </w:rPr>
      </w:pPr>
      <w:r w:rsidRPr="00A4268A">
        <w:rPr>
          <w:rFonts w:eastAsia="Calibri"/>
        </w:rPr>
        <w:t xml:space="preserve">Residents were observed being treated in a professional and respectful manner. Policies are in place to ensure residents are free from discrimination or abuse and neglect, and these policies are understood by staff.  </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MV and CD Hodson Partnership is the governing body and are responsible for the service provided at Westella Homestead.  Dalcam Healthcare Limited is contracted to provide management services at Westella Homestead.  The strategic plan, business plan, mission statement, vision and values statements, and philosophy are documented.  An organisational chart was also sighted.  </w:t>
      </w:r>
    </w:p>
    <w:p w:rsidRPr="00A4268A">
      <w:pPr>
        <w:spacing w:before="240" w:line="276" w:lineRule="auto"/>
        <w:rPr>
          <w:rFonts w:eastAsia="Calibri"/>
        </w:rPr>
      </w:pPr>
      <w:r w:rsidRPr="00A4268A">
        <w:rPr>
          <w:rFonts w:eastAsia="Calibri"/>
        </w:rPr>
        <w:t>An experienced facility manager, who is a registered nurse, is responsible for management of the facility and for oversight of clinical care.  The facility manager is supported by the general manager from Dalcam Healthcare Ltd.</w:t>
      </w:r>
    </w:p>
    <w:p w:rsidRPr="00A4268A">
      <w:pPr>
        <w:spacing w:before="240" w:line="276" w:lineRule="auto"/>
        <w:rPr>
          <w:rFonts w:eastAsia="Calibri"/>
        </w:rPr>
      </w:pPr>
      <w:r w:rsidRPr="00A4268A">
        <w:rPr>
          <w:rFonts w:eastAsia="Calibri"/>
        </w:rPr>
        <w:t>Quality indicators are reported. There is an internal audit programme and audits are completed.  Risks are identified and there is a hazard register.  Adverse events are documented. Internal audits, infection control surveillance, electronic accident/incident reports, meeting minutes and surveys evidenced analysis of data and the development of corrective action plans to address any issue/s that require improvement.</w:t>
      </w:r>
    </w:p>
    <w:p w:rsidRPr="00A4268A">
      <w:pPr>
        <w:spacing w:before="240" w:line="276" w:lineRule="auto"/>
        <w:rPr>
          <w:rFonts w:eastAsia="Calibri"/>
        </w:rPr>
      </w:pPr>
      <w:r w:rsidRPr="00A4268A">
        <w:rPr>
          <w:rFonts w:eastAsia="Calibri"/>
        </w:rPr>
        <w:t>There are policies and procedures on human resource management.  Job descriptions, orientation programme, performance appraisals, and evidence of police vetting are retained on staff files.  Practising certificates are held on file for all health professionals who require them to practice.</w:t>
      </w:r>
    </w:p>
    <w:p w:rsidRPr="00A4268A">
      <w:pPr>
        <w:spacing w:before="240" w:line="276" w:lineRule="auto"/>
        <w:rPr>
          <w:rFonts w:eastAsia="Calibri"/>
        </w:rPr>
      </w:pPr>
      <w:r w:rsidRPr="00A4268A">
        <w:rPr>
          <w:rFonts w:eastAsia="Calibri"/>
        </w:rPr>
        <w:t xml:space="preserve">In-service education is provided for staff. Caregivers are also supported to complete the New Zealand Qualifications Authority Unit Standards relating to aged care and dementia; staff have either completed the dementia specific education modules or are working towards completing them.  </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 and the registered nurse are available on call after hours.  Care staff interviewed reported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Needs Assessment Co-ordination Service to ensure access to the service is efficient and relevant information is provided, whenever there is a vacancy.</w:t>
      </w:r>
    </w:p>
    <w:p w:rsidRPr="00A4268A" w:rsidP="00621629">
      <w:pPr>
        <w:spacing w:before="240" w:line="276" w:lineRule="auto"/>
        <w:rPr>
          <w:rFonts w:eastAsia="Calibri"/>
        </w:rPr>
      </w:pPr>
      <w:r w:rsidRPr="00A4268A">
        <w:rPr>
          <w:rFonts w:eastAsia="Calibri"/>
        </w:rPr>
        <w:t>Residents’ needs are assessed on admission by the multidisciplinary team.  There is evidence that needs, goals and outcomes are identified and reviewed on a regular basis, however at times this is not within the required timeframes and some interventions are not consistent with assessment findings.  Residents and families interviewed reported being well informed and involved, and that the care provided meets residents’ current needs</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are consistent with these documents.</w:t>
      </w:r>
    </w:p>
    <w:p w:rsidRPr="00A4268A" w:rsidP="00621629">
      <w:pPr>
        <w:spacing w:before="240" w:line="276" w:lineRule="auto"/>
        <w:rPr>
          <w:rFonts w:eastAsia="Calibri"/>
        </w:rPr>
      </w:pPr>
      <w:r w:rsidRPr="00A4268A">
        <w:rPr>
          <w:rFonts w:eastAsia="Calibri"/>
        </w:rPr>
        <w:t>The menu has been reviewed by a registered dietician as meeting nutritional guidelines, with any special dietary requirements and need for modified equipment met. Some aspects of food preparation and storage are not consistent with current legislation and guidelines and an improvement is required.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Westella Homestead is located on a three hectare site that is secured by electronic gates with security cameras and high fences.  Residents are able to wander freely throughout the facility and grounds.  </w:t>
      </w:r>
    </w:p>
    <w:p w:rsidRPr="00A4268A">
      <w:pPr>
        <w:spacing w:before="240" w:line="276" w:lineRule="auto"/>
        <w:rPr>
          <w:rFonts w:eastAsia="Calibri"/>
        </w:rPr>
      </w:pPr>
      <w:r w:rsidRPr="00A4268A">
        <w:rPr>
          <w:rFonts w:eastAsia="Calibri"/>
        </w:rPr>
        <w:t xml:space="preserve">Building and plant comply with legislation and a current building warrant of fitness displayed. The preventative and reactive maintenance programme includes equipment and electrical checks. </w:t>
      </w:r>
    </w:p>
    <w:p w:rsidRPr="00A4268A">
      <w:pPr>
        <w:spacing w:before="240" w:line="276" w:lineRule="auto"/>
        <w:rPr>
          <w:rFonts w:eastAsia="Calibri"/>
        </w:rPr>
      </w:pPr>
      <w:r w:rsidRPr="00A4268A">
        <w:rPr>
          <w:rFonts w:eastAsia="Calibri"/>
        </w:rPr>
        <w:t>All bedrooms are single and some have full ensuite facilities.  Communal ablution facilities are available.  Residents' rooms have adequate personal space provided. There are two lounges and two dining areas available. External areas are available for sitting and shading is provided.</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are safely stored. All personal laundry is washed on site.  Cleaning and laundry systems, including appropriate monitoring systems, are used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processes in place for determining safe and appropriate restraint and enabler use. The facility is a secure unit, and on the day of audit there were no residents requiring the use of restraints or enablers. The three rest home residents’ who have requested to remain in the facility, despite it being a secure facility are able to independently exit the facility at any time.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service providers and visitors.  Reporting lines are clearly defined with the infection control coordinator reporting directly to the facility manager who reports to the General Manager </w:t>
      </w:r>
    </w:p>
    <w:p w:rsidRPr="00A4268A">
      <w:pPr>
        <w:spacing w:before="240" w:line="276" w:lineRule="auto"/>
        <w:rPr>
          <w:rFonts w:eastAsia="Calibri"/>
        </w:rPr>
      </w:pPr>
      <w:r w:rsidRPr="00A4268A">
        <w:rPr>
          <w:rFonts w:eastAsia="Calibri"/>
        </w:rPr>
        <w:t>There is an infection prevention and control programme for which external advice and support was sought; this is reviewed annually. An infection control nurse is responsible for this programme, including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was occurring according to the descriptions of the process in the programme. Data on the nature and frequency of identified infections has been collated and analysed. Surveillance results are benchmarked with an external provider.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14"/>
        <w:gridCol w:w="1280"/>
        <w:gridCol w:w="88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the Health and Disability Commissioner (HDC) Code of Health and Disability Services Consumers' Rights (the Code) is provided to staff during their induction to the service and through the ongoing education programme.  The Health and Disability Advocate has provided education on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their understanding of the Code.  Examples were provided on ways the Code was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and family on entry includes how to make a complaint, code of rights pamphlet and advocacy information. </w:t>
            </w:r>
          </w:p>
          <w:p w:rsidR="00EB7645" w:rsidRPr="00BE00C7" w:rsidP="00BE00C7">
            <w:pPr>
              <w:pStyle w:val="OutcomeDescription"/>
              <w:spacing w:before="120" w:after="120"/>
              <w:rPr>
                <w:rFonts w:cs="Arial"/>
                <w:b w:val="0"/>
                <w:lang w:eastAsia="en-NZ"/>
              </w:rPr>
            </w:pPr>
            <w:r w:rsidRPr="00BE00C7">
              <w:rPr>
                <w:rFonts w:cs="Arial"/>
                <w:b w:val="0"/>
                <w:lang w:eastAsia="en-NZ"/>
              </w:rPr>
              <w:t>Care staff were observed displaying respectful attitudes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staff in relation to informed consent. Resident files included documented consent relating to general consent. Consent is also obtained on an as-required basis, such as for flu’ vaccinations.   Copies of legal documents such as Enduring Power of Attorney (EPOA) for residents are retained at the facility where residents have named EPOAs and these were reviewed on resident’s files, where available.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Staff education records confirmed this. Staff demonstrated their understanding of the advocacy service and contact details for the service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The nationwide advocate details are displayed along with advocacy information brochures.  Admission / pre-admission information includes advocacy, complaints and the Code of Rights.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confirmed their awareness of the advocacy service and how to access this, although all stated they would feel comfortable about approaching the facility manager should they have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interests and visit with their families. The service’s activities programme includes regular outings in the facility’s van. </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visiting hours. Family members advised they feel welcome when they visit. Residents reported they are supported by staff to access health care services outside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confirmed they can have access to visitors of their choice, and confirmed they are supported to access services within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with the support of the general manager, is responsible for management of complaints.  There are appropriate systems in place to manage the complaints processes.  A complaints register is maintained that includes complaints received verbally as well as in writing.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advised there has been one complaint made to the Health and Disability Commissioner (HDC) since the last audit.  This complaint related to ‘care’ provided to a resident and the HDC letter advising their investigation was closed and they would not be taking any further action was sighted.  The general manager advised there have been no complaint investigations by the Ministry of Health, Police, Accident Compensation Corporation (ACC) or Coroner since the previous audit at this facility.  Thre has been one complaint received from the District Health Board (DHB) relating to a resident leaving the facility without supervision that was worked through (see link 1.2.4).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policies and procedures are compliant with Right 10 of the Code.  Systems are in place to ensure residents and their family are advised on entry to the facility of the complaint processes and the Code.  Residents and family interviewed demonstrate an understanding and awareness of these processes.  </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is readily accessible and/or displayed.  The quality and staff meeting minutes provided evidence of reporting of complaints to staff.  Care staff confirmed this information is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Rights and information on the advocacy service were available and displayed at the facility.  This information is provided as part of the pre-admission and information packs.  Residents and family members confirmed they were provided with information regarding the Code and the Nationwide Health and Disability Advocacy Service. Residents and family also confirmed explanations regarding their rights occurred on admission. They also confirmed care staff provided them with information on their rights any time they have had a query.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had access to an advocate if needed.  Residents’ meetings are held monthly and the meeting minutes indicated residents are aware of their rights.  Residents and family stated they would feel comfortable raising issues with any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treating residents with respect during this audit.  This was confirmed by residents and family members and during review of satisfaction surveys.  Residents were addressed by their preferred names.</w:t>
            </w:r>
          </w:p>
          <w:p w:rsidR="00EB7645" w:rsidRPr="00BE00C7" w:rsidP="00BE00C7">
            <w:pPr>
              <w:pStyle w:val="OutcomeDescription"/>
              <w:spacing w:before="120" w:after="120"/>
              <w:rPr>
                <w:rFonts w:cs="Arial"/>
                <w:b w:val="0"/>
                <w:lang w:eastAsia="en-NZ"/>
              </w:rPr>
            </w:pPr>
            <w:r w:rsidRPr="00BE00C7">
              <w:rPr>
                <w:rFonts w:cs="Arial"/>
                <w:b w:val="0"/>
                <w:lang w:eastAsia="en-NZ"/>
              </w:rPr>
              <w:t>Staff understand the policy relating to abuse and neglect.  Staff gave examples of what would constitute abuse and neglect and the actions they would take if they suspected this. Education on abuse and neglect has been provided for staff. Staff employment contracts contain information relating to expected standards of behaviour, and the disciplinary actions that would ensue should those standards not be met.</w:t>
            </w:r>
          </w:p>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Staff were observed knocking before entering residents' rooms and keeping doors closed while attending to residents.  Care staff demonstrated an awareness of residents’ rights and the maintenance of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community are encouraged and the general manager and facility manager advised the residents attend community events as able. Church services are held on site monthly.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included documentation relating to individual cultural, religious and social needs, values and beliefs that had then been incorporated into their individual care plan; although interventions are not consistently documented to meet the resident’s cultural needs (see criterion 1.3.6.1). The residents care plans included information on the resident’s abilities, and strategies to maintain/maximise their independence. These plans had been developed in conjunction with the resident and/or their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that includes the three principles of the Treaty of Waitangi: Partnership, Participation and Protection.  The Māori health plan describes the incorporation of the holistic view of Māori health into the delivery of services (whanau, Hinengaro, Tinana and Wairua). The rights of the residents/family to practise their own beliefs are acknowledged in the Māori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resident who identifies as Māori.  The facility manager identifies as Māori and speaks Te Reo Māori with this resident.  Additional access to Māori support and advocacy services is available if required from the local Māori Women’s’ Welfare League. </w:t>
            </w:r>
          </w:p>
          <w:p w:rsidR="00EB7645" w:rsidRPr="00BE00C7" w:rsidP="00BE00C7">
            <w:pPr>
              <w:pStyle w:val="OutcomeDescription"/>
              <w:spacing w:before="120" w:after="120"/>
              <w:rPr>
                <w:rFonts w:cs="Arial"/>
                <w:b w:val="0"/>
                <w:lang w:eastAsia="en-NZ"/>
              </w:rPr>
            </w:pPr>
            <w:r w:rsidRPr="00BE00C7">
              <w:rPr>
                <w:rFonts w:cs="Arial"/>
                <w:b w:val="0"/>
                <w:lang w:eastAsia="en-NZ"/>
              </w:rPr>
              <w:t>Cultural aspects of care are incorporated in to this resident’s care, although specific interventions to meet their cultural needs are not clearly documented in their care plan (see criterion 1.3.6.1)   Whānau are as involved in the care of Māori residents as they are able to be.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were included in the care plans reviewed. These care plans did not include documented interventions to ensure resident’s cultural needs are met although staff could describe the interventions and these were observed during this audit (see criterion 1.3.6.1). Residents and family members advised they had been consulted about the resident’s individual ethnic,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r w:rsidRPr="00BE00C7">
              <w:rPr>
                <w:rFonts w:cs="Arial"/>
                <w:b w:val="0"/>
                <w:lang w:eastAsia="en-NZ"/>
              </w:rPr>
              <w:t>Care staff demonstrated an understanding of cultural safety in relation to care.  Staff also demonstrated processes are in place to ensure residents have access to appropriate services to ensure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outline the safeguards to protect residents from abuse, including discrimination, coercion, harassment, and exploitation, along with actions to be taken if there is inappropriate or unlawful conduct.  Staff files included copies of a code of conduct that all staff are required to adhere to.  The code of conduct also addresses any conflict of interest issues including the accepting of gifts and personal transactions with residents.  Expected staff practice is also outlined in job descriptions and employment agreements, which were reviewed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accident/incident reporting documentation, complaints register and interview of the general manager indicated there have been no allegations made by residents or family alleging unacceptable behaviour by staff members.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reported that staff maintain appropriate professional boundaries.  Staff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professional networks to help ensure residents receive services of an appropriate standard, including specialist services at the local District Health Board (DHB). Clinical policies, which are current and reflect best practice, are available to guide staff in care delivery. The facility manager is supported to attend external education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reporting system demonstrated timely and open communication with residents/family members.  Communication with family members is recorded in the progress notes. Family members expressed satisfaction with how well they were kept informed about any change to the resident’s condition and their involvement in resident care planning and six monthly reviews of resident care. Resident meetings are held monthly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advised that interpreter services are able to be accessed from the staff, community and District Health Board (DHB) if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of the scope of services and any items they have to pay that is not covered by the agreement. Admission agreements were reviewed and this was clearly communicated in each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MV and CD Hodson Partnership is the governing body and are responsible for the service provided at Westella Homestead (Westella).  MV and CD Hodson Partnership have contracted the management of Westella to Dalcam Healthcare Limited (Dalcam).  The general manager for Dalcam was interviewed and advised they report monthly via formal reports to one of the directors of Dalcam, who is also one of the partners of MV and CD Hodson Partnership.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strategic plan for the period 2014 to 2019 as well as a business plan dated March 2016 and a quality plan and a risk management plan. The mission statement, vision, values and an organisational chart were reviewed.  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A new facility manager, who is an experienced registered nurse, has been appointed since the last audit.  The facility manager is responsible for the day-to-day management of the facility.  The facility manager is also responsible for oversight of clinical care provided and is supported by two registered nurses.  There is a registered nurse on site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personal files for the facility manager and the registered nurses confirmed all three have current practising certificates, job descriptions and evidence of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Westella is currently certified to provide rest home care (dementia). The service provider is transitioning from rest home and dementia level care to dementia level care only. There were three residents assessed as requiring rest home level care during this audit and all have consented to being in a secure environment.  These residents report they are able to leave the facility if they wish.  Twenty two of the residents were assessed as requiring dementia level care and two of these residents are aged less than 65 years.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contracts with the District Health Board (DHB) to provide aged related residential care (rest home dementia), respite and day care services, and long term support - chronic health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day-to-day operation of the service continues should the facility manager be absent. The registered nurse who works Monday to Friday, in the absence of the facility manager, assumes the clinical leadership role, supported by the general manager as well as registered nurses from a nearby sister facility. </w:t>
            </w:r>
          </w:p>
          <w:p w:rsidR="00EB7645" w:rsidRPr="00BE00C7" w:rsidP="00BE00C7">
            <w:pPr>
              <w:pStyle w:val="OutcomeDescription"/>
              <w:spacing w:before="120" w:after="120"/>
              <w:rPr>
                <w:rFonts w:cs="Arial"/>
                <w:b w:val="0"/>
                <w:lang w:eastAsia="en-NZ"/>
              </w:rPr>
            </w:pPr>
            <w:r w:rsidRPr="00BE00C7">
              <w:rPr>
                <w:rFonts w:cs="Arial"/>
                <w:b w:val="0"/>
                <w:lang w:eastAsia="en-NZ"/>
              </w:rPr>
              <w:t>Services provided meet the specific needs of the resident groups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plan is used to guide the quality programme and includes quality goals and objectives, a risk management strategy and a risk management plan.  The facility manager is responsible for ensuring the organisations quality and risk management systems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audits completed in 2015 and 2016 were reviewed during this audit, along with processes for identification of risks. Risks are identified, and there is a hazard register that identifies health and safety risks as well as risks associated with human resource management, legislative compliance, contractual risks and clinical risk.    The health and safety manual included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staff/quality and resident meetings are held and meeting minutes are available for review by staff.  Meeting minutes provided evidence of reporting / feedback on internal audits completed and various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an electronic database as well as on various register and forms.  Quality improvement data is being collected, collated, analysed and reported.  Quality improvement data reviewed, including adverse event reports, internal audits and meeting minutes provided evidence that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were identified and included in the policies and procedures manuals.  Policies and procedures are relevant to the scope and complexity of the service, reflect current accepted good practice, and reference legislative requirements.  Policies / procedures were available with systems in place for reviewing and updating the policies and procedures regularly including a policy for document update reviews and document control.  Staff confirmed they are advised of updated policies and that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&amp; Safety policies and procedures are available and staff are aware of, and reported, hazards at the facility when this is required. Chemical safety data sheets are available. Calibration of medical equipment is conducted and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documented on an register.  The registered nurse (RN) reported they are advised of all adverse events where there is an injury to a resident.  They advise an RN undertakes an assessment of these residents.  The assessment includes neurological observations for all unwittnessed falls and for injuries resulting in head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collated and graphs of incidents and accidents are generated monthly.  The facility manager writes a narrative report that includes an analysis of these events which is then presented at the monthly quality and staff meetings.  Minutes of meetings and graphs evidenced reporting on the number and type of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advised they notify the Ministry of Health and District Health Board of all instances of residents who leave the site without support/supervision.  They also advised that there have been six instances where residents have left the facility since January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Communication with family and general practitioner (GP) following adverse events and if there is any change in the resident’s condition is recorded in residents’ records.  Family members and the GP interviewed confirmed they are notified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are made aware of their responsibilities for completion of adverse events.  Staff also confirmed they are recording accidents and incidents on the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relation to human resource management are available. The skills and knowledge required for each position is documented in job descriptions which outline accountability, responsibilities and authority. Staff files included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a background in education and is responsible for the in-service education programme.  The education planners for 2015 - 2016 were reviewed and education is provided at least monthly. Staff also complete online learning modules each month.  Individual staff attendance records and attendance records for each education session were reviewed and evidenced ongoing education is provided and staff attendance is high.  Improvements are required with the education provided as there is no evidence that pressure injury prevention management and wound care education has been provided.  A suite of competency assessment questionnaires are completed including for medication management and restraint.  The facility manager and the two registered nurses have the required interRAI assessment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either completed or commenced the New Zealand Qualifications Authority approved aged care education modules, including dementia specific.  Staff are also supported to complete education via external education providers.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service provider levels and skill mixes in order to provide safe service delivery.  Registered nurse (RN) cover is provided Monday to Sunday inclusive between 8.30am and 4.30pm.  Additional RN support is available 24 hours a day from a nearby sister facility.  The minimum amount of staff on duty is between 11.30pm and 7.30am and consists of two caregivers.</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is adequate staff available and that they are able to get through their work.   Residents and family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related information is kept in an electronic database as well as hard-copy and is maintained securely.  Archived material is also kept securely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components of the residents’ records include the resident’s unique identifier. The clinical records were well organised and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completed every shift, detailing resident response to service provision and progress towards identified goals. Entries made by the staff in the progress notes clearly identify the name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need for service had been identified, it is planned, co-ordinated and delivered in a timely and appropriate manner. Specialist referral to the service is confirmed: The Enduring power of attorney (EPOA) of each resident requiring specialised care, has consented to the resident being admitted.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service includes the specific dementia care services provided, including the use of technology to facilitate management of residents with dementia in an environment of minimal restrictions and risk. Full details of the services location and hours, how the service is accessed and the process if a resident requires a change in the care provided, is also included.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using an electronic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is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a separate locked cupboard; however there were no controlled drugs in use or on site on the day of audit.  The controlled drug register evidences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authorises electronically the commencement and discontinuation of medicines. The three monthly GP review is recorded (refer 1.3.3.3).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their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as required (PRN) medication administered requires electronic authorisation on the resident’s medication chart. PRN medication requests include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dietician’s documented  July-2015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and food is available at all times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production, transportation, delivery and disposal comply with current legislation and guidelines, however some aspects of food preparation and storage, requires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is sighted however there is no documented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facility manager verified a process existed for informing residents, their family/whanau and their referrers if entry is declined.  The reason for declining entry is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includes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or the whanau room with the resident and/or family/whanau present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Over the next three weeks, the RN undertakes an interRAI assessment, and other assessments as clinically indicated, which are reviewed six monthly or as needs, outcomes and goals of the resident change.  A medical assessment is undertaken within 48 hours of admission and reviewed as a resident's condition changes, or three monthly (refer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family/whanau, informs the care plan and assists in identifying the required support the resident needs to meet their goals and desired outcomes. Behaviour management plans included triggers and interventions to redirect, de-escalate or manage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documented, informative and relevant.  Any change in care required is documented and verbally passed on to those concerned.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six monthly (refer 1.3.6.1) or more frequently as the resident's condition dictates.   Interviews and documentation verified resident and family/whanau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interviews verified the provision of care provided to residents was consistent with residents’ needs and desired outcomes. However documentation in the lifestyle care plan did not always include the detailed interventions required to meet some residents assessed needs, desired outcomes or goals.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initiated for short term or acute events and residents who experience un-observed falls have neurological observations completed. Documentation and observations demonstrated that consultation and liaison is occurring with other services. Services are delivered in a manner that supports the resident to maintain strengths and live safely in a secure environment.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on admission to ascertain their needs and appropriate activity and social requirements. Activities assessments are analysed to develop an holistic 24/7 activities programme that is meaningful to the residents. The activities reflect the skills, strengths and the interests of the residents. Interviews with residents and observations confirm they participate and enjoy activities. The diversional therapist (DT) and an assistant works 40 hours per week, providing activities meeting the needs and goals of residents, including two residents who are under the age of 65.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review of the residents’ activity levels was a factor in determining the hours the residents required involvement in meaningful activity. Interviews, observation and documentation evidences the modified activities roster, have residents involved in activities during times of previous unrest. This has provided an alternative way for residents to expend energy and reduced the episodes of challenging behaviours often associated with residents with dementia. </w:t>
            </w:r>
          </w:p>
          <w:p w:rsidR="00EB7645" w:rsidRPr="00BE00C7" w:rsidP="00BE00C7">
            <w:pPr>
              <w:pStyle w:val="OutcomeDescription"/>
              <w:spacing w:before="120" w:after="120"/>
              <w:rPr>
                <w:rFonts w:cs="Arial"/>
                <w:b w:val="0"/>
                <w:lang w:eastAsia="en-NZ"/>
              </w:rPr>
            </w:pPr>
            <w:r w:rsidRPr="00BE00C7">
              <w:rPr>
                <w:rFonts w:cs="Arial"/>
                <w:b w:val="0"/>
                <w:lang w:eastAsia="en-NZ"/>
              </w:rPr>
              <w:t>Written activities are planned and displayed for residents and family to see. Each resident file has an activities plan, attendance record and a diversional therapy evaluation sheet completed for the resident. Activities are reviewed six monthly, sighted reviewed activity plans for resident files reviewed during the on-site audit. Activity goals include physical, intellectual, cultural and spiritual needs of residents. Outings take place and residents have signed consents for going on outings, on record. Residents were observed playing cards, gardening, playing pool, wandering in the garden and participating in physical exercises during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reviewed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in conjunction with family, GP and specialist service providers. Where progress is different from expected, the service is seen to respond by initiating changes to the service delivery plan (refer 1.3.6.1).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District Health Board (DHB).  Referrals are followed up on a regular basis by the registered nurse or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have been provided by the chemical representative and are available and accessible for staff. Staff have received education on chemical safety as part of their in-service education programme.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Hazardous substances were correctly labelled and the containers were appropriate for the contents. Protective clothing and equipment is provided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Appropriate systems are in place to ensure the residents’ physical environment and facilities are fit for their purpose.  A proactive and reactive maintenance programme is in place that ensures buildings; plant and equipment are maintained to an adequate standard. The maintenance person was interviewed and review of the maintenance records confirmed this.  The testing and tagging of equipment and calibration of bio 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 entire site is secured by electronic gates with security cameras and high fences.  Residents are able to wander freely throughout the facility and grounds.  GPS tracking is used for residents who have been identified with dementia related wandering. The external areas are safely maintained and are appropriate to the resident groups and setting.   Residents are protected from risks associated with being outside (eg, provision of adequate and appropriate seating; provision of shade; and ensuring a safe area is available for recreation or evacuation purposes).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have access to appropriate equipment. Equipment is checked before use and staff are assessed as competent to use any equipment.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is required and that requests are appropriately actioned.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bedrooms have full ensuite facilities and some have a wash hand basin.  There are adequate numbers of accessible communal showers, toilets and hand basins for residents. Toilets and showers are of an appropriate design.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All rooms were personalised to varying degrees. Bedrooms are large enough to provide personal space for residents, and allow staff and equipment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the lounges and dining areas. Residents were observed moving freely within these areas. Residents confirmed there are alternate areas available to them if communal activities are being run in one of these areas and they do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laundry and safe storage and use of chemicals / poisons policies and procedures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All personal laundry is washed on site.  All bedding and towels are washed off site by an external contractor.  There are appropriate storage areas for soiled linen waiting for collection by the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Care staff are responsible for laundry and they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described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Safe and secure storage areas are available and staff have appropriate and adequate access to these areas as required. Chemicals were labelled and stored safely within these areas. Chemical safety data sheets or equivalent were available. Appropriate facilities exist for the disposal of soiled water/waste (i.e., sluice room),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stated they were satisfied with the cleaning and laundry service and this finding was confirmed during review of the satisfaction survey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in place for essential, emergency and security services. There is a New Zealand Fire Service letter dated 6 August 2005 advising approval of fire evacuation scheme.  Fire safety education, including a trial evacuation, was held on 14 April 2016.</w:t>
            </w:r>
          </w:p>
          <w:p w:rsidR="00EB7645" w:rsidRPr="00BE00C7" w:rsidP="00BE00C7">
            <w:pPr>
              <w:pStyle w:val="OutcomeDescription"/>
              <w:spacing w:before="120" w:after="120"/>
              <w:rPr>
                <w:rFonts w:cs="Arial"/>
                <w:b w:val="0"/>
                <w:lang w:eastAsia="en-NZ"/>
              </w:rPr>
            </w:pPr>
            <w:r w:rsidRPr="00BE00C7">
              <w:rPr>
                <w:rFonts w:cs="Arial"/>
                <w:b w:val="0"/>
                <w:lang w:eastAsia="en-NZ"/>
              </w:rPr>
              <w:t>Emergency and security management education is provided as part of the in-service education programme. Processes are in place to meet the requirements for the 'Major Incident and Health Emergency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available and displayed for staff and residents; emergency equipment is accessible, stored correctly, not expired, and stocked to a level appropriate to the service setting. There is emergency lighting, torches, gas for cooking, extra food supplies, emergency water supply (potable/drinkable supply and non-potable/non drinkable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groups and setting. Call bells are accessible/within reach and were available in resident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responds to resident feedback in relation to heating and ventilation, wherever practicable.  Residents and family confirmed the facility is maintained at an appropriate temperature. Residents are provided with adequate natural light, safe ventilation, and an environment that is maintained at a safe and comfortable temperature.  Environmental temperatures are monitored and recorded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policy reflects the requirements of the infection prevention and control standard.  The service provides a managed environment that minimises the risk of infection to residents, staff and visitors by the implementation of an appropriate infection prevention and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reviewed annually, establishes, maintains and monitors procedures covering infection control practices. The infection control practices are guided by the infection control manual in conjunction with the public health advisor at Mid Central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the responsibility of all staff to adhere to the procedures and guidelines in the infection control manual when carrying out all work practices.  Evidence of practice relating to these policies was sighted.  Reporting lines for infection control management are clearly defined.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is responsible for implementing the infection control programme and reports directly to the facility manager, who reports to the general manager.  A position description is included in the infection control (IC) programme.</w:t>
            </w:r>
          </w:p>
          <w:p w:rsidR="00EB7645" w:rsidRPr="00BE00C7" w:rsidP="00BE00C7">
            <w:pPr>
              <w:pStyle w:val="OutcomeDescription"/>
              <w:spacing w:before="120" w:after="120"/>
              <w:rPr>
                <w:rFonts w:cs="Arial"/>
                <w:b w:val="0"/>
                <w:lang w:eastAsia="en-NZ"/>
              </w:rPr>
            </w:pPr>
            <w:r w:rsidRPr="00BE00C7">
              <w:rPr>
                <w:rFonts w:cs="Arial"/>
                <w:b w:val="0"/>
                <w:lang w:eastAsia="en-NZ"/>
              </w:rPr>
              <w:t>The ICN and observation verified there are enough human, physical and information resources to implement the infection control programme. Training records sighted and interview verified the ICN attends regular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includes policies and procedures. Policies are current and signed off by ICN in conjunction with input from the DHB.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verify knowledge of infection control policies. Staff are observed to be compliant with generalised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verify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in a manner that recognises and meets the residents’ and the families’ communication style, as verified by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Health and Disability Services Standards (HDSS) surveillance of infections is occurring and is the responsibility of the infection control nurse ( ICN).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incidents of infections and the required management plan are presented daily at handover, and via electronic alerts, to ensure early interventions.  Surveillance data is collated and analysed to identify any significant trends, possible causative factors and required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are presented at the quality meetings and any ongoing corrective actions discussed and presented to staff at staff meetings, as evidenced by meeting records, infection control records and staff interviews. The service participates in internal benchmarking within the organisations other facilities as well as external benchmarking with similar service. Surveillance date evidences incidents of infections are 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The service demonstrates that the use of restraint is actively minimised. The residents are free to wander round the gardens. There are no locked doors and residents can enter or leave the building as they feel like. There is no evidence of any residents using physical restraints or enablers. Interviews with staff, residents and their family members confirm physical restraint and enablers are not being used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residents assessed as requiring rest home care requested to stay at the facility after rest home level of care changed to dementia level of care. These residents have consented to being cared for in a designated secure unit (refer 1.3.3), as they did not want to leave the facility. Review of these residents’ files evidenced written consent records, requesting their desire to stay at the facility despite it being secure. Consents are reviewed yearly.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verifies each of the three rest home residents have the means to independently exit the unit at any time and the provider does not intentionally restrict the residents normal access to the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8"/>
        <w:gridCol w:w="1280"/>
        <w:gridCol w:w="6364"/>
        <w:gridCol w:w="1741"/>
        <w:gridCol w:w="20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registered nurses (RN) stated they have attended pressure injury prevention and wound management education but there is no documented evidence on their files to support this.  The RNs are enrolled to attend to attend a wound, skin and pressure area management seminar in mid-June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Pressure injury prevention management and wound care education has not been provided as part of the education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pressure injury prevention management and wound care education has been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Shelves in the pantry are chipped and expose bare wood that is permeable to spills and difficult to keep clean.  Containers of decanted goods have no dates to indicate the items use by date.  Cooked meat temperatures are not monitored to ensure the correct temperature has been reached and meat has been cooked properly.  The cleaning schedule does not include all items requiring cleaning on a regular basis, nor verification of compliance with the cleaning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aspects of food preparation and storage is not consistent with current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files reviewed evidenced GPs reviewing residents three monthly although there is no documented evidence to verify the resident was stable and not requiring monthly review. An interview with the GP, did however verify the residents were stable and did not require to be attended to monthly.</w:t>
            </w:r>
          </w:p>
          <w:p w:rsidR="00EB7645" w:rsidRPr="00BE00C7" w:rsidP="00BE00C7">
            <w:pPr>
              <w:pStyle w:val="OutcomeDescription"/>
              <w:spacing w:before="120" w:after="120"/>
              <w:rPr>
                <w:rFonts w:cs="Arial"/>
                <w:b w:val="0"/>
                <w:lang w:eastAsia="en-NZ"/>
              </w:rPr>
            </w:pPr>
            <w:r w:rsidRPr="00BE00C7">
              <w:rPr>
                <w:rFonts w:cs="Arial"/>
                <w:b w:val="0"/>
                <w:lang w:eastAsia="en-NZ"/>
              </w:rPr>
              <w:t>Ten electronic medication files reviewed, identified four not having been reviewed in the last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Evidence verified the resident had been seen by the GP,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practitioners review of residents and medications are not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is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identified two residents with diverse cultural needs having no interventions detailing how these are to be addressed.  A resident with a wound has no detailed management plan as to how this is to be managed. Two residents with an increase in their falls risk, have reference to this in the evaluation; however no update on the intervention required to manage the increased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interventions are not always consistent with residents assessed needs and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consistent with residents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V and C D Hodson - Westella Homestead</w:t>
    </w:r>
    <w:bookmarkEnd w:id="58"/>
    <w:r>
      <w:rPr>
        <w:rFonts w:cs="Arial"/>
        <w:sz w:val="16"/>
        <w:szCs w:val="20"/>
      </w:rPr>
      <w:tab/>
      <w:t xml:space="preserve">Date of Audit: </w:t>
    </w:r>
    <w:bookmarkStart w:id="59" w:name="AuditStartDate1"/>
    <w:r>
      <w:rPr>
        <w:rFonts w:cs="Arial"/>
        <w:sz w:val="16"/>
        <w:szCs w:val="20"/>
      </w:rPr>
      <w:t>12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