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Birchleigh Management Limited - Birchleigh Residential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Birchleigh Management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Birchleigh Residential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May 2016</w:t>
      </w:r>
      <w:bookmarkEnd w:id="7"/>
      <w:r w:rsidRPr="009418D4">
        <w:rPr>
          <w:rFonts w:cs="Arial"/>
        </w:rPr>
        <w:tab/>
        <w:t xml:space="preserve">End date: </w:t>
      </w:r>
      <w:bookmarkStart w:id="8" w:name="AuditEndDate"/>
      <w:r w:rsidR="00A4268A">
        <w:rPr>
          <w:rFonts w:cs="Arial"/>
        </w:rPr>
        <w:t>10 May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Addition of medical service to their current hospital certification.  Addition of a hospital level room in the hospital unit</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Birchleigh Residential Care Centre is certified to provide rest home, dementia and hospital – geriatric level care for up to 83 residents.  On the day of audit, there were 81 residents.  The service is overseen by a chief executive officer who reports to a Board of Directors.  Each unit is managed by an experienced nurse manager (registered nurse). </w:t>
      </w:r>
    </w:p>
    <w:p w:rsidRPr="00A4268A">
      <w:pPr>
        <w:spacing w:before="240" w:line="276" w:lineRule="auto"/>
        <w:rPr>
          <w:rFonts w:eastAsia="Calibri"/>
        </w:rPr>
      </w:pPr>
      <w:r w:rsidRPr="00A4268A">
        <w:rPr>
          <w:rFonts w:eastAsia="Calibri"/>
        </w:rPr>
        <w:t xml:space="preserve">Residents and families interviewed were complimentary of the service that they receive.  Staff turnover has been low. </w:t>
      </w:r>
    </w:p>
    <w:p w:rsidRPr="00A4268A">
      <w:pPr>
        <w:spacing w:before="240" w:line="276" w:lineRule="auto"/>
        <w:rPr>
          <w:rFonts w:eastAsia="Calibri"/>
        </w:rPr>
      </w:pPr>
      <w:r w:rsidRPr="00A4268A">
        <w:rPr>
          <w:rFonts w:eastAsia="Calibri"/>
        </w:rPr>
        <w:t>This certification audit was conducted against the Health and Disability Service Standards and the district health board contract.  The audit process included a review of policies and procedures, the review of resident and staff files, observations and interviews with residents, family members, staff and management.  This audit also included verifying the service as appropriate to provide hospital – medical care.</w:t>
      </w:r>
    </w:p>
    <w:p w:rsidRPr="00A4268A">
      <w:pPr>
        <w:spacing w:before="240" w:line="276" w:lineRule="auto"/>
        <w:rPr>
          <w:rFonts w:eastAsia="Calibri"/>
        </w:rPr>
      </w:pPr>
      <w:r w:rsidRPr="00A4268A">
        <w:rPr>
          <w:rFonts w:eastAsia="Calibri"/>
        </w:rPr>
        <w:t xml:space="preserve">The service has exceeded the standard in relation to reduction of restraint use. </w:t>
      </w:r>
    </w:p>
    <w:p w:rsidRPr="00A4268A">
      <w:pPr>
        <w:spacing w:before="240" w:line="276" w:lineRule="auto"/>
        <w:rPr>
          <w:rFonts w:eastAsia="Calibri"/>
        </w:rPr>
      </w:pPr>
      <w:r w:rsidRPr="00A4268A">
        <w:rPr>
          <w:rFonts w:eastAsia="Calibri"/>
        </w:rPr>
        <w:t xml:space="preserve">The audit has identified that improvements are required around incident reporting, care plan timeframes, wound care documentation, medication management, and preventative maintenance schedule.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staff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services is easily accessible to residents and families.  Information on informed consent is provided and discussed with residents and relatives.  Staff interviewed are familiar with processes to ensure informed consent.  Complaints policies and procedures meet requirements and residents and families are aware of the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Organisational performance is monitored through a number of processes to ensure it aligns with the identified values, scope and strategic direction.  The business plan has goals documented.  There are policies and procedures that support and guide staff providing care to residents with rest home, hospital and dementia level needs.  There is an implemented quality and risk management programme.  </w:t>
      </w:r>
    </w:p>
    <w:p w:rsidRPr="00A4268A">
      <w:pPr>
        <w:spacing w:before="240" w:line="276" w:lineRule="auto"/>
        <w:rPr>
          <w:rFonts w:eastAsia="Calibri"/>
        </w:rPr>
      </w:pPr>
      <w:r w:rsidRPr="00A4268A">
        <w:rPr>
          <w:rFonts w:eastAsia="Calibri"/>
        </w:rPr>
        <w:t xml:space="preserve">Staff receive ongoing training and there is an implemented 2016 training plan.  Rosters and interviews indicate sufficient staff that allows flexibility of staffing around client’s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to the service is managed by the three nurse managers and registered nurses.  There is comprehensive service information available.  Assessments, care plans and evaluations are completed by a registered nurse.  Each resident has access to an individual and group activities programme.  The group programme is varied and interesting.  Medication is stored appropriately in line with legislation and guidelines.  General practitioners review residents at least three monthly or more frequently if needed.  Meals are prepared on-site by a contracted company.  The menu is varied and appropriate.  Individual and special dietary needs are catered for.  Alternative options are provided.  Residents and relatives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Chemicals are stored safely throughout the facility.  Appropriate policies are available along with product safety charts.  The building holds a current warrant of fitness.  Resident rooms are spacious with an adequate number of shower and toilet facilities for the number of residents.  There is wheelchair access to all areas.  External areas are safe and well maintained.  Fixture, fittings and flooring is appropriate and toilet/shower facilities are constructed for ease of cleaning.  Cleaning and laundry services are well monitored through the internal auditing system.  Appropriate training, information and equipment for responding to emergencies are provided.  There is an approved evacuation scheme and emergency supplies for at least three days.  All staff hold a current first aid certificate.</w:t>
      </w:r>
    </w:p>
    <w:p w:rsidRPr="00A4268A">
      <w:pPr>
        <w:spacing w:before="240" w:line="276" w:lineRule="auto"/>
        <w:rPr>
          <w:rFonts w:eastAsia="Calibri"/>
        </w:rPr>
      </w:pPr>
      <w:r w:rsidRPr="00A4268A">
        <w:rPr>
          <w:rFonts w:eastAsia="Calibri"/>
        </w:rPr>
        <w:t>This audit verified that an additional hospital level room is appropriate for hospital level care residents.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 xml:space="preserve">Birchleigh has restraint minimisation and safe practice policies and procedures in place.  Staff receive training in restraint minimisation and challenging behaviour management.  The service has achieved a restraint-free environment. Three hospital residents had bedrail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53"/>
        <w:gridCol w:w="1280"/>
        <w:gridCol w:w="980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(HDC) Code of Health and Disability Services Consumers' Rights (the Code) poster is displayed in a visible location.  The policy relating to the Code is implemented and staff can describe how the Code is incorporated in their everyday delivery of care.  Interviews with staff (nine caregivers, two registered nurses, three nurse managers and two diversional therapists), reflected their understanding of the key principles of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advanced directives and medical care guidance instructions were recorded, as evidenced in nine resident files reviewed (three rest home, three dementia and three hospital).  Dementia residents have an activated enduring power of attorney in place (EPOA).  There was evidence that family involvement occurs with the consent of the resident.  Family members/EPOA interviewed confirmed that information was provided to enable informed choices and that they were able to decline or withdraw their consent.  Resident admission agreements were signed.  Caregivers and the registered nurses interviewed confirmed verbal consent is obtained when delivering care.  Nine of nine resident files sampled had a signed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have a documented enduring power of attorney on file (EPOA) if they cannot self-advocate.  Contact numbers for advocacy services are in advocacy pamphlets that are available in the entrance.  Residents’ meetings include actions taken (if any) before addressing new items.  Discussions with relatives identified that the service provides opportunities for the family/EPOA to be involved in decisions.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that visiting can occur at any time.  Key people involved in the resident’s life have been documented in the resident files.  Residents verified that they have been supported and encouraged to remain involved in the community.  Entertainers are regularly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policy and procedure has been implemented and residents and their family/whānau are provided with information on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of the three units had the complaints policy posted in a visible area with complaints forms and advocacy information nearby.  The residents and families interviewed from each of the three units were aware of the complaints process and to whom they should direct complaints.  </w:t>
            </w:r>
          </w:p>
          <w:p w:rsidR="00EB7645" w:rsidRPr="00BE00C7" w:rsidP="00BE00C7">
            <w:pPr>
              <w:pStyle w:val="OutcomeDescription"/>
              <w:spacing w:before="120" w:after="120"/>
              <w:rPr>
                <w:rFonts w:cs="Arial"/>
                <w:b w:val="0"/>
                <w:lang w:eastAsia="en-NZ"/>
              </w:rPr>
            </w:pPr>
            <w:r w:rsidRPr="00BE00C7">
              <w:rPr>
                <w:rFonts w:cs="Arial"/>
                <w:b w:val="0"/>
                <w:lang w:eastAsia="en-NZ"/>
              </w:rPr>
              <w:t>None of the three units had complaints for 2016; complaints reviewed (which were of a low level) for 2015 demonstrated comprehensive investigation and responses to the complainant.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 the Code, complaints and advocacy including in formats suitable for people with intellectual disabilities.  Information is given to the family or the enduring power of attorney (EPOA) to read to and/or discuss with the resident.  Thirteen residents (nine rest home and four hospital) and eleven relatives (four rest home, three hospital and four dementia unit) interviewed identified they are well-informed about the Code.  Resident meetings in each of the three units and surveys provide the opportunity to raise concerns.  Advocacy and Code of Rights information is included in the information pack and are available at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procedures for maintaining confidentiality of resident records, resident’s privacy and dignity.  Residents are supported to attend other churches if they wish.  Residents and relatives interviewed reported that residents are able to choose to engage in activities and access community resources.  There is an abuse and neglect policy and staff education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Māori heath plan and an individual’s values and beliefs policy which includes cultural safety and awareness.  Tikaka best practice guidelines are available to staff.   Residents who identify as Māori have their cultural needs addressed in care plans.  Discussions with staff confirmed their understanding of the different cultural needs of residents and their whānau.  Interviews with staff confirmed they are aware of the need to respond appropriately to maintain cultural safety.  The service has links to the DHB for cultural support as needed and is working towards establishing cultural links with the Otago University Māori liaison unit. Cultural training is included in the bi-annual training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and activities goal setting includes consideration of spiritual, psychological and social needs.  Residents and family members interviewed indicated that they are asked to identify any spiritual, religious and/or cultural beliefs.  Relatives reported that they feel they are consulted and kept informed and family involvement is encouraged.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for staff around maintaining professional boundaries and code of conduct.  The employment agreement includes a code of conduct.  Job descriptions include responsibilities of the position.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with needs relating to aged care. The quality programme has been designed to monitor contractual and standards compliance and the quality of service delivery in the facility.  Staffing policies include pre-employment and the requirement to attend orientation and ongoing in-service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spoke very positively about the care and support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seven registered nurses assessed as interRAI competent and 91% of all care hours are delivered by caregivers with at least level one ACE qualification.  Four staff have attended the ‘Walking in Another’s Shoes ‘training and have credited this training with improvements to care and support in the dementia unit and other areas. </w:t>
            </w:r>
          </w:p>
          <w:p w:rsidR="00EB7645" w:rsidRPr="00BE00C7" w:rsidP="00BE00C7">
            <w:pPr>
              <w:pStyle w:val="OutcomeDescription"/>
              <w:spacing w:before="120" w:after="120"/>
              <w:rPr>
                <w:rFonts w:cs="Arial"/>
                <w:b w:val="0"/>
                <w:lang w:eastAsia="en-NZ"/>
              </w:rPr>
            </w:pPr>
            <w:r w:rsidRPr="00BE00C7">
              <w:rPr>
                <w:rFonts w:cs="Arial"/>
                <w:b w:val="0"/>
                <w:lang w:eastAsia="en-NZ"/>
              </w:rPr>
              <w:t>Restraint use and infection levels remain low and staff report that this is due to raised awareness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stated they are informed of changes in health status and incidents/accidents.  This was confirmed on incident forms reviewed.  Residents also stated they were welcomed on entry and were given time and explanation about services and procedures.  Resident meetings occur in each of the three units.  Residents and family are advised in writing of their eligibility and the process to become a subsidised resident should they wish to do so.  The service has policies and procedures available for access to interpreter services for residents (and their family).  If residents or family/whānau have difficulty with written or spoken English, then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Birchleigh Management Limited (Birchleigh) provides residential services for up to 83 residents requiring rest home, hospital – geriatric and dementia level care.  On the day of the audit there were 81 residents, all under the Aged Residential Care contract.  There were 25 residents in the hospital unit – 24 hospital and one rest home; 33 residents in the rest home; and 23 residents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The goals and direction of the service are well documented in the business plan and the progress toward previous goals has been documented through reports to the boards, staff meeting and staff communication leaflets monthly.</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is managed by the CEO, a non-clinical person who has been in the role for nine years.  The CEO reports to a board of directors.  The CEO has maintained eight hours annually of professional development activities related to managing an aged care facility.  Each of the three units is managed separately by an experienced nurse manager, all of whom are registered nurses.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appropriate staffing, allied health input and equipment to add medical to their current hospital certification.</w:t>
            </w:r>
          </w:p>
          <w:p w:rsidR="00EB7645" w:rsidRPr="00BE00C7" w:rsidP="00BE00C7">
            <w:pPr>
              <w:pStyle w:val="OutcomeDescription"/>
              <w:spacing w:before="120" w:after="120"/>
              <w:rPr>
                <w:rFonts w:cs="Arial"/>
                <w:b w:val="0"/>
                <w:lang w:eastAsia="en-NZ"/>
              </w:rPr>
            </w:pPr>
            <w:r w:rsidRPr="00BE00C7">
              <w:rPr>
                <w:rFonts w:cs="Arial"/>
                <w:b w:val="0"/>
                <w:lang w:eastAsia="en-NZ"/>
              </w:rPr>
              <w:t>One additional hospital room was reviewed; this room is appropriate for up to two residents.  It currently has a married couple and there is room for mobility aids.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CEO reported that in the event of his temporary absence, the board would maintain oversight and the three nurse managers would provide clinical management as usual.  The nurse managers provide oversight for each other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improvement processes are in place to capture and manage non-compliances.  They include internal audits, hazard management, risk management, incident and accident, infection control data collection and complaints management.  All quality improvement data is discussed at three monthly staff meetings in each unit and monthly at the senior management quality meetings.  Meeting minutes reviewed evidenced that there is good communication and feedback to staff and management around quality outcomes and KPIs.  Each of the nurse managers facilitates the quality programme in their own unit and ensures the internal audit schedules are implemented.  The internal audit schedule is implemented in all three units.  Corrective action plans are developed, implemented and signed off when service shortfalls are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trend analysis is posted up in staff rooms and document infection control graphs and incident/accident graphs such as falls, skin tears and bruises.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that are relevant to the various service types offered and are reviewed two yearly.  These have been updated to include interRAI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There is a current risk management plan.  Hazards are identified, managed and documented on the hazard register.  Health and safety issues are discussed at monthly staff meetings, quality meetings and reported monthly to the board.  Action plans were documented to address issues raised.</w:t>
            </w:r>
          </w:p>
          <w:p w:rsidR="00EB7645" w:rsidRPr="00BE00C7" w:rsidP="00BE00C7">
            <w:pPr>
              <w:pStyle w:val="OutcomeDescription"/>
              <w:spacing w:before="120" w:after="120"/>
              <w:rPr>
                <w:rFonts w:cs="Arial"/>
                <w:b w:val="0"/>
                <w:lang w:eastAsia="en-NZ"/>
              </w:rPr>
            </w:pPr>
            <w:r w:rsidRPr="00BE00C7">
              <w:rPr>
                <w:rFonts w:cs="Arial"/>
                <w:b w:val="0"/>
                <w:lang w:eastAsia="en-NZ"/>
              </w:rPr>
              <w:t>There are resident surveys conducted and analysed with corrective action plans developed when required.  The 2015 resident survey demonstrated a high level of satisfaction with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for individual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accident/incident process (exception reports) includes documentation of the incident and analysis and separation of resident and staff incidents and accidents. </w:t>
            </w:r>
          </w:p>
          <w:p w:rsidR="00EB7645" w:rsidRPr="00BE00C7" w:rsidP="00BE00C7">
            <w:pPr>
              <w:pStyle w:val="OutcomeDescription"/>
              <w:spacing w:before="120" w:after="120"/>
              <w:rPr>
                <w:rFonts w:cs="Arial"/>
                <w:b w:val="0"/>
                <w:lang w:eastAsia="en-NZ"/>
              </w:rPr>
            </w:pPr>
            <w:r w:rsidRPr="00BE00C7">
              <w:rPr>
                <w:rFonts w:cs="Arial"/>
                <w:b w:val="0"/>
                <w:lang w:eastAsia="en-NZ"/>
              </w:rPr>
              <w:t>Resident exception reports for April were reviewed for each of the three units.  All three units had exception reports that were incomplete and did not have a fully completed RN review of the incident on the form.  One pressure injury did not have an associated incident form (exception report).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Accidents and incidents are analysed monthly with results discussed at monthly quality meetings and three monthly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managers were aware of situations that require statutory reporting.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Nine staff files were sampled, (one nurse manager and one caregiver for the dementia unit, one nurse manager and two caregivers from the rest home, one nurse manager and two caregivers from the hospital and one laundry person).  All documented appropriate employment practices and documented annual appraisals as needed and current job descriptions.  Current annual practising certificates are kept on file.</w:t>
            </w:r>
          </w:p>
          <w:p w:rsidR="00EB7645" w:rsidRPr="00BE00C7" w:rsidP="00BE00C7">
            <w:pPr>
              <w:pStyle w:val="OutcomeDescription"/>
              <w:spacing w:before="120" w:after="120"/>
              <w:rPr>
                <w:rFonts w:cs="Arial"/>
                <w:b w:val="0"/>
                <w:lang w:eastAsia="en-NZ"/>
              </w:rPr>
            </w:pPr>
            <w:r w:rsidRPr="00BE00C7">
              <w:rPr>
                <w:rFonts w:cs="Arial"/>
                <w:b w:val="0"/>
                <w:lang w:eastAsia="en-NZ"/>
              </w:rPr>
              <w:t>There is a fully implemented and comprehensive training plan in place.  There are implemented competencies for registered nurses related to specialised procedure or treatment including (but not limited to): medication management and syringe driver training and competencies.  Residents and families state that staff are knowledgeable and skilled.</w:t>
            </w:r>
          </w:p>
          <w:p w:rsidR="00EB7645" w:rsidRPr="00BE00C7" w:rsidP="00BE00C7">
            <w:pPr>
              <w:pStyle w:val="OutcomeDescription"/>
              <w:spacing w:before="120" w:after="120"/>
              <w:rPr>
                <w:rFonts w:cs="Arial"/>
                <w:b w:val="0"/>
                <w:lang w:eastAsia="en-NZ"/>
              </w:rPr>
            </w:pPr>
            <w:r w:rsidRPr="00BE00C7">
              <w:rPr>
                <w:rFonts w:cs="Arial"/>
                <w:b w:val="0"/>
                <w:lang w:eastAsia="en-NZ"/>
              </w:rPr>
              <w:t>Staff who work in the dementia unit have completed the dementia unit standards with the exception of two recently employed staff.</w:t>
            </w:r>
          </w:p>
          <w:p w:rsidR="00EB7645" w:rsidRPr="00BE00C7" w:rsidP="00BE00C7">
            <w:pPr>
              <w:pStyle w:val="OutcomeDescription"/>
              <w:spacing w:before="120" w:after="120"/>
              <w:rPr>
                <w:rFonts w:cs="Arial"/>
                <w:b w:val="0"/>
                <w:lang w:eastAsia="en-NZ"/>
              </w:rPr>
            </w:pPr>
            <w:r w:rsidRPr="00BE00C7">
              <w:rPr>
                <w:rFonts w:cs="Arial"/>
                <w:b w:val="0"/>
                <w:lang w:eastAsia="en-NZ"/>
              </w:rPr>
              <w:t>Staffing in the hospital unit can accommodate the additional room.  Registered nurses receive training to ensure that residents who are funded under the medical component will receive appropriate care (such as medication, oxygen therapy and syringe driver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staffing the service.  Staffing rosters were sighted and staff are on duty to match needs of different shifts and needs of different individual residents.  The nurse managers are on-call after-hours, with other registered nurses.  Adequate RN cover is provided 24 hours a day, 7 days a week.  Sufficient numbers of caregivers support RNs. Interviews with the residents and relatives confirmed staffing overall was satisfactory.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retains relevant and appropriate information to identify residents and track records.  Files and relevant resident care and support information can be accessed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are in hard copy and stored where they cannot be accessed by people not authorised to do so.  </w:t>
            </w:r>
          </w:p>
          <w:p w:rsidR="00EB7645" w:rsidRPr="00BE00C7" w:rsidP="00BE00C7">
            <w:pPr>
              <w:pStyle w:val="OutcomeDescription"/>
              <w:spacing w:before="120" w:after="120"/>
              <w:rPr>
                <w:rFonts w:cs="Arial"/>
                <w:b w:val="0"/>
                <w:lang w:eastAsia="en-NZ"/>
              </w:rPr>
            </w:pPr>
            <w:r w:rsidRPr="00BE00C7">
              <w:rPr>
                <w:rFonts w:cs="Arial"/>
                <w:b w:val="0"/>
                <w:lang w:eastAsia="en-NZ"/>
              </w:rPr>
              <w:t>Individual resident files demonstrate service integration.  Medication charts are in a separate folder with medication and this is appropriate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are legible, dated and signed by the relevant staff member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Residents and family members receive an information pack outlining services able to be provided, the admission process and entry to the service.  The nurse managers of each unit screen all potential residents prior to entry and record all admission enquiries.  Residents and family members interviewed confirmed they received information prior to admission and had the opportunity to discuss the admission agreement with the nurse managers.  The admission agreement form in use aligns with the requirements of the ARC contract.  Exclusions from the service are included in the admission agreement.  The information provided at entry includes examples of how services can be accessed that are not included in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interviewed confirmed they were kept well informed about all matters pertaining to residents, especially if there is a change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Medicines are appropriately stored in accordance with relevant guidelines and legislation.  Medication administration practice complies with the medication management policy for the medication rounds sighted.  Medication prescribed is signed for correctly for the sample of medication charts reviewed in the rest home and dementia units.  The caregivers administer medicines in the rest home and dementia units. Registered nurses administer medications to hospital residents.  Staff who administer medication have been assessed as competent.  The facility uses a blister pack medication management system for the packaging of all tablets.  The RN’s reconcile the delivery and this is documented.   Medication charts are written by medical practitioners and there was evidence of three monthly reviews by the GP.  Not all medications are prescribed and charted in line with guidelines.  There were no residents self-administering medicines. Standing orders are in place in the hospital unit only and these are current.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at Birchleigh Residential Care Centre is provided by a contracted company. The kitchen is located at the adjacent retirement village and transported across to the facility in hot boxes. The meals are served to residents from small kitchens (one in each of the three units), which are located beside each dining room. Bain maries are used in each servery to ensure that food is served hot.  The operations manager and the kitchen manager oversee the food service. Food service manuals are in place to guide staff.  A resident dietary profile is developed for each resident on admission and is provided to the kitchen staff.  The kitchen is able to meet the needs of residents who need special diets and the cooks work closely with the registered nurses.  Kitchen staff have completed food safety training.  The cooks follow a rotating menu, which has been reviewed by a dietitian.  The temperatures of refrigerators, freezers and cooked foods are routinely monitored and recorded.  There is special equipment available for residents if required.  All food is stored appropriately.  Residents and the family members interviewed were very happy with the quality and variety of food served.  The dementia unit is supplied with extra nutritious snacks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decision to residents/family/whānau.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nine files sampled evidenced that appropriate personal needs information is gathered during admission in consultation with the resident and their relative where appropriate.  This forms the basis of the initial care plan. All nine resident files sampled evidenced that the interRAI assessment tool had been used to form the basis of the long-term care plan. The interRAI assessment outcomes were reflected in the long-term care plans reviewed. Six monthly interRAI reassessment has occurred for seven of nine residents. Two residents were admitted within the previous six months and interRAI was not yet required to be reviewed.  Risk assessment tools are used where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described areas of the support required to meet the resident’s goals and needs and identified allied health involvement under a range of template headings.  Residents and their family/whānau are documented as involved in the care planning and review process.  Short-term care plans were in use for changes in health status.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follow the care plan and report progress against the care plan each shift.  If external nursing or allied health advice is required the RNs will initiate a referral (e.g., to the district nurse).  If external medical advice is required, this will be actioned by the GP.  Staff have access to sufficient medical supplies (e.g., dressings).  Sufficient continence products are available and resident files include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sighted were in place for enabler use, behaviour management, fluid balance charts, turning charts and pain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documentation is available and includes assessments, management plans, progress and evaluations. In the rest home there were three residents with five wounds. One resident has a chronic leg ulcer and a skin tear; one resident has a graze and a skin tear; and one resident has had a skin cancer removed. There were no current wounds in the dementia unit. In the hospital there was wound documentation in use for four residents with seven wounds. One resident has four skin tears; one resident has an infected leg wound; and two residents have skin tears.  During the audit it was identified that one hospital resident has a stage II pressure injury which is being dressed, however this has not been documented.  The RNs have access to specialist nursing wound care management advice through the district nursing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activities staff members facilitate the activities programme for all residents.  One staff member is a diversional therapist and one is a trained teacher.  Each resident has an individual activities assessment on admission and from this information, an individual activities plan has been developed by the activities staff for the nine resident files sampled.  The two staff members divide their time between the three units.  Each unit has a separate programme and reflects the resident’s cognitive and physical abilities. Activities in the dementia unit are provided for each morning and afternoon.  Caregivers are also involved in the programme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Each resident is free to choose whether they wish to participate in the group activities programme or their individual plan.  Participation is monitored.  Group activities reflect ordinary patterns of life and include planned visits to the community.  Residents and families interviewed commented positively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are evaluated by the registered nurses within three weeks of admission.  The long-term care plan is reviewed at least six monthly or earlier if there is a change in health status.  Reviews document progress toward goals.  There is at least a three monthly review by the GP.  Changes in health status are documented and followed up.  Care plan reviews are signed by an RN.  Short-term care plans are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nurses initiate referrals to nurse specialists and allied health services.  Other specialist referrals are made by the GPs.  Referrals and options for care were discussed with the family as evidenced in interviews and medical notes.  The staff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chemicals were securely stored.  Chemicals were clearly labelled and safety material data sheets were available and accessible in all service areas.  The hazard register is current.  Staff interviewed confirmed they can access personal protective clothing and equipment at any time.  As observed during the audit, staff were wearing gloves, aprons and hats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staff were noted to be particularly vigilant around chemical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established systems in place to ensure the physical environment and facilities are safe and fit for their purpose.  The facility has a current building warrant of fitness which expires on 3 March 2017.</w:t>
            </w:r>
          </w:p>
          <w:p w:rsidR="00EB7645" w:rsidRPr="00BE00C7" w:rsidP="00BE00C7">
            <w:pPr>
              <w:pStyle w:val="OutcomeDescription"/>
              <w:spacing w:before="120" w:after="120"/>
              <w:rPr>
                <w:rFonts w:cs="Arial"/>
                <w:b w:val="0"/>
                <w:lang w:eastAsia="en-NZ"/>
              </w:rPr>
            </w:pPr>
            <w:r w:rsidRPr="00BE00C7">
              <w:rPr>
                <w:rFonts w:cs="Arial"/>
                <w:b w:val="0"/>
                <w:lang w:eastAsia="en-NZ"/>
              </w:rPr>
              <w:t>Maintenance is undertaken by both internal maintenance personnel and external contractors.  Electrical safety test tag system shows this has occurred.  The facility is being maintained in good repair.  All maintenance records were reviewed and are clearly documented.   The maintenance records were reactive maintenance. There was no documented preventative maintenance schedule.  Water temperatures are monitored.  It was identified that whenever it was out of range, corrective actions had not been taken.</w:t>
            </w:r>
          </w:p>
          <w:p w:rsidR="00EB7645" w:rsidRPr="00BE00C7" w:rsidP="00BE00C7">
            <w:pPr>
              <w:pStyle w:val="OutcomeDescription"/>
              <w:spacing w:before="120" w:after="120"/>
              <w:rPr>
                <w:rFonts w:cs="Arial"/>
                <w:b w:val="0"/>
                <w:lang w:eastAsia="en-NZ"/>
              </w:rPr>
            </w:pPr>
            <w:r w:rsidRPr="00BE00C7">
              <w:rPr>
                <w:rFonts w:cs="Arial"/>
                <w:b w:val="0"/>
                <w:lang w:eastAsia="en-NZ"/>
              </w:rPr>
              <w:t>The wide corridors and rails promote safe mobility with the use of mobility aids and transferring equipment.  Residents were observed moving freely around the areas with mobility aids where required.  The external areas and gardens are well maintained.  There is outdoor furniture and seating and shaded areas.  There is safe wheelchair access to all communal areas.  There is an outdoor designated smoking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RNs interviewed stated that they have all the equipment referred to in care plans necessary to provide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lounge area is designed so that space and seating arrangements provide for individual and group activities.  Seating is appropriate and designed to meet the consumer group.  There are quiet, low stimulus areas that provide privacy when required.  There is a safe and secure outside area that is easy to access.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added a hospital level room.  The room was noted to be large enough for the care of a resident and associated mobility equipment.  There is heating and an external window.  The room currently accommodates a married couple.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have access to hand basins.  Not all rooms have ensuites.  There are adequate numbers of communal toilets and shower rooms.  There are communal toilets located close to communal areas in the rest home and hospital areas.  Not all toilets have privacy locks, engaged/vacant signs are in use.  There is appropriate signage, easy clean flooring and fixtures and handrails appropriately placed.  Residents interviewed report their privacy is maintained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space in the bedrooms and enough space for the safe manoeuvring of mobility equipment.  Residents can personalise their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area has a separate dining area which is set out to encourage social interaction at meal times.  The dining room chairs are easy slide chairs which are manageable for the consumer group.  There is a separate lounge area suitable for entertainment and several smaller lounge areas with seating placed to provide quiet private areas for residents and their families.  There is a quiet library/reading area.  There is also an alcove area with a portable phone available for private telephone conversations.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area provides a spacious open plan dining and lounge area that meets the needs of the consumer and observational requirements for care staff.  There is adequate space for activities persons to provide a group activity.  There is a family/whānau lounge available for private family visits, GP meetings and family meetings.  There are sofa beds in the room for family to stay overnight if desired.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care unit layout provides for freedom of movement within a safe and secure environment.  There are external walking paths and internal space to allow wandering that is not obtrusive on other residents.  There is sufficient space within the open plan dining and lounge area to accommodate individual low stimulus activities and group activities.  Resident dining can be easily observed and supervised.  All communal areas can be observed from the nurses’ station.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cleaning and laundry policies and procedures in place.  The domestic services officer oversees the areas and is responsible for procurement and health and safety.  Housekeeping staff are responsible for cleaning and laundry service.  There are sufficient staff allocated seven days a week to carry out these services.  All laundry and personal clothing is laundered on-site.  There are defined clean/dirty areas.  Cleaner’s trolleys are stored in locked areas when not in use.  There were adequate linen supplies sighted in the facility linen-store cupboards.  Internal audits monitor the effectiveness of laundry and cleaning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approved evacuation plan.  Fire evacuation drills are held six monthly.  Civil defence equipment and resources are available and this was discussed with the maintenance person responsible.  A gas barbecue is also available.  The facility has back up lighting, power and sufficient food, water and personal supplies to provide for its maximum number of residents in the event of a power outage.</w:t>
            </w:r>
          </w:p>
          <w:p w:rsidR="00EB7645" w:rsidRPr="00BE00C7" w:rsidP="00BE00C7">
            <w:pPr>
              <w:pStyle w:val="OutcomeDescription"/>
              <w:spacing w:before="120" w:after="120"/>
              <w:rPr>
                <w:rFonts w:cs="Arial"/>
                <w:b w:val="0"/>
                <w:lang w:eastAsia="en-NZ"/>
              </w:rPr>
            </w:pPr>
            <w:r w:rsidRPr="00BE00C7">
              <w:rPr>
                <w:rFonts w:cs="Arial"/>
                <w:b w:val="0"/>
                <w:lang w:eastAsia="en-NZ"/>
              </w:rPr>
              <w:t>The emergency plans and security systems meet regulation requirements.  The nurse call system is appropriate for the size of the facility and call bells are accessible in the rooms, lounge and dining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communal areas and bedrooms have adequate natural light with large windows and in some rest home rooms there are ranch sliders to the outdoors.  There are a variety of heating methods used to maintain a warm environment within the communal areas and bedrooms including heat pumps and under floor heating.  The temperature is thermostat controlled and can be individually adjusted in the resident bedrooms.  Residents and families interviewed advised that the bedrooms, lounges and other communal rooms are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Birchleigh has an established infection control programme.  The infection control programme, its content and detail, is appropriate for the size, complexity and degree of risk associated with the service.  The dementia unit nurse manager is the designated infection control nurse with support from the other nurse managers and registered nurses.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nurse manager at Birchleigh is the designated infection control (IC) nurse.  There are adequate resources to implement the infection control programme for the size and complexity of the organisation.  The IC nurse and IC team (comprising staff representatives) has external support from the local laboratory infection control team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and procedures appropriate for the size and complexity of the service.  The infection control manual outlines a range of policies, standards and guidelines and includes defining roles, responsibilities and oversight, the infection control team and training and education of staff.  The policies were developed by the IC nurse and IC team and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nurse has completed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Birchleigh infection control manual.  Monthly infection data is collected for all infections based on signs and symptoms of infection.  An individual resident infection form is completed which includes signs and symptoms of infection, treatment, follow up, review and resolution.  Surveillance of all infections is entered on to a monthly infection summary.  This data is monitored and evaluated monthly and annually.  Outcomes and actions are discussed at staff meetings.  If there is an emergent issue, it is acted upon in a timely manner.  Reports are easily accessible to the nurse managers.  Since the previous audit there has been one outbreak, which was reported and appropriately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There were three hospital residents with enablers in use.  Policies and procedures include definition of restraint and enabler that are congruent with the definition in NZS 8134.0.  Enablers are voluntary. Enabler documentation for three files reviewed includes consent, risk assessments, care planning, monitoring and review.  Staff education on RMSP /enablers has been provided at least twice a year and on orientation of new staff.  The service has reduced the use of restraint over the past five years and is now restraint-free.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68"/>
        <w:gridCol w:w="1280"/>
        <w:gridCol w:w="5864"/>
        <w:gridCol w:w="3144"/>
        <w:gridCol w:w="14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guide staff around incident and accident reporting.  The exception reporting template is available to staff and incidents are recorded on this form.  Three monthly staff meetings, monthly quality meetings and monthly reports to the board document that the service actively reviews and discusses incidents and accidents.  Exception reports reviewed were not all fully completed and one pressure injury had no exception report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Hospital exception reports included three falls, one choking episode, four behaviour incidents (one resident) and one skin tear reviewed.  Dementia exception reports included one behavioural incident and twelve falls.  Rest home exception reports included five falls and two skin tears.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nine hospital incident reports reviewed did not document a complete RN review and follow up. One hospital level resident with a pressure injury did not have an incident report completed. Ten of twelve dementia incident reports did not document a complete RN review and follow up and four of seven rest home incident reports did not document a complete RN review and follow up.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pressure injuries have an exception report completed.  Ensure that exception reports are fully completed including record of registered nurse follow up.</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medication charts were reviewed for six rest home, six dementia and six hospital residents. Medications requiring controls were noted to be stored and registered in line with legislation. Two staff signatures were noted on administration signing sheets for rest home and dementia residents. Only one staff member (registered nurse) had been signing on administration sheets for hospital resident controlled drug medication.  Warfarin orders are received from the medical practice. Not all orders have a medication order signed for by the GP.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i)Only one staff member is signing for controlled drug administration in the hospital unit; and ii) medication orders for residents receiving variable doses of warfarin are not always signed by the prescriber.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that controlled drug administration and signing aligns with guidelines and best practice; and ii) ensure that all medication orders are signed by the prescriber.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 the sample have been assessed with the interRAI assessment tool within the required timeframes.  Long-term care plans have been developed within twenty-one days for seven of nine resident files reviewed.  Long-term care plan evaluations have been conducted six monthly or more frequently as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 was developed after the 21 day timeframe for one rest home and one dementia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long-term care plans are developed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Wound documentation reviewed included wound assessments, wound care plans and progress notes. The progress notes record the current wound dressings and how well the wound is healing. The service photograph wounds if required to monitor progress. Wound and skin specialist input was also evidenced as having been accessed when required. A stage II pressure injury was identified through review of one hospital resident’s progress notes and medical file entries. There was minimal reference to the pressure area and reposition of the resident in progress notes. The GP had been made aware of the injury in March and had reviewed the area in April. The care plan included skin care and repositioning of the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with a stage 2 pressure injury did not have wound documentation completed. The injury had been identified by nursing staff, but was not adequately documented or reported to the nurse manager.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wounds care plans are developed for all wounds, including pressure injuries and that these are identified and reported to management.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Maintenance is undertaken by both internal maintenance personnel and external contractors.  Electrical safety test tag system shows this has occurred.  The facility is being maintained in good repair.  All maintenance records were reviewed and are clearly documented.   The maintenance records were reactive maintenance. There was no documented preventative maintenance schedule.  Water temperatures are monitored.  It was identified that whenever it was out of range, corrective actions had not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documented preventative maintenance schedule.  Water temperatures are monitored.  It was identified that whenever it was out of range, corrective actions had not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 and implement an annual preventative maintenance schedule; (ii) Ensure corrective actions are documented when water temperatures are above 45 degrees.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36"/>
        <w:gridCol w:w="1280"/>
        <w:gridCol w:w="2344"/>
        <w:gridCol w:w="707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and enabler use is a clinical indicator which is monitored each month. The service has actively reduced the use of restraints and enablers.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nurse manager is the restraint coordinator and has been in the role for the past five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2011, the restraint coordinator identified a high level of restraint use - with 19 of 24 hospital residents with some form of restraint in place. Restraint and enabler reduction goals and objectives have been set and reviewed each year. The intention has been to minimise restraint and enabler use and to ensure that staff are educated in restraint minimisation. Restraint use data has been gathered each year and reviewed at clinical and 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Since 2011, the use of restraint has been reduced by approximately 50% each year. The service now has no residents with restraint and this has been maintained for the past 18 months. Enabler use has been reduced from eight enablers in 2012 to three hospital residents with enablers in 2016.</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Birchleigh Management Limited - Birchleigh Residential Care Centre</w:t>
    </w:r>
    <w:bookmarkEnd w:id="58"/>
    <w:r>
      <w:rPr>
        <w:rFonts w:cs="Arial"/>
        <w:sz w:val="16"/>
        <w:szCs w:val="20"/>
      </w:rPr>
      <w:tab/>
      <w:t xml:space="preserve">Date of Audit: </w:t>
    </w:r>
    <w:bookmarkStart w:id="59" w:name="AuditStartDate1"/>
    <w:r>
      <w:rPr>
        <w:rFonts w:cs="Arial"/>
        <w:sz w:val="16"/>
        <w:szCs w:val="20"/>
      </w:rPr>
      <w:t>9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