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Helena's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St Helena's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2016</w:t>
      </w:r>
      <w:bookmarkEnd w:id="7"/>
      <w:r w:rsidRPr="009418D4">
        <w:rPr>
          <w:rFonts w:cs="Arial"/>
        </w:rPr>
        <w:tab/>
        <w:t xml:space="preserve">End date: </w:t>
      </w:r>
      <w:bookmarkStart w:id="8" w:name="AuditEndDate"/>
      <w:r w:rsidR="00A4268A">
        <w:rPr>
          <w:rFonts w:cs="Arial"/>
        </w:rPr>
        <w:t>15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St Helena’s is part of the Radius Residential Care Group.  St Helena’s cares for up to 52 residents requiring hospital and rest home level care.  On the day of the audit there were 41 residents.  </w:t>
      </w:r>
    </w:p>
    <w:p w:rsidRPr="00A4268A">
      <w:pPr>
        <w:spacing w:before="240" w:line="276" w:lineRule="auto"/>
        <w:rPr>
          <w:rFonts w:eastAsia="Calibri"/>
        </w:rPr>
      </w:pPr>
      <w:r w:rsidRPr="00A4268A">
        <w:rPr>
          <w:rFonts w:eastAsia="Calibri"/>
        </w:rPr>
        <w:t xml:space="preserve">The facility manager has been in the role for three months and has experience in aged care management.   She is supported by a relieving clinical manager and the Radius regional manager. </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One of the two shortfalls identified at the previous audit has been addressed.  This was around infection control surveillance.  Improvement continues to be required around care planning.</w:t>
      </w:r>
    </w:p>
    <w:p w:rsidRPr="00A4268A">
      <w:pPr>
        <w:spacing w:before="240" w:line="276" w:lineRule="auto"/>
        <w:rPr>
          <w:rFonts w:eastAsia="Calibri"/>
        </w:rPr>
      </w:pPr>
      <w:r w:rsidRPr="00A4268A">
        <w:rPr>
          <w:rFonts w:eastAsia="Calibri"/>
        </w:rPr>
        <w:t xml:space="preserve">This audit has identified additional improvements required around complaint management, incident reporting of pressure injuries, interRAI assessments and timeliness of risk reassessments, medication management, self-administering residents and first aid training for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is responsible for the day-to-day operations of the facility.  Quality and risk management processes are maintained.  Strategic plans and quality goals are documented and regularly reviewed.  Corrective action plans are implemented where opportunities for improvement are identified.  A risk management programme is in place, which includes a risk management plan and robust health and safety processes.  Human resources are managed in accordance with good employment practice and meeting legislative requirements.  An orientation programme is in place for new staff.  Education is provided for staff.  Registered nursing cover is provided twenty 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are responsible for care plan development with input from residents and family.  Planned activities are appropriate to the resident’s assessed needs and abilities and residents advised satisfaction with the activities programme.  Medications are stored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alternative systems available so that staff can use restraint as a last resort strategy.  There were three residents voluntarily using bedrails as enablers on the day of the audit.  Care plans include reference to the use of enablers.  Two residents were using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 Helena’s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0"/>
        <w:gridCol w:w="1280"/>
        <w:gridCol w:w="10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five residents (one hospital level and four rest home level) and family members confirmed their understanding of the complaints process.  Care staff interviewed (three healthcare assistants, two registered nurses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and written complaints received are recorded on a complaints register. There is evidence that these complaints have been managed in a timely manner including acknowledgement, investigation, meeting time lines, corrective actions when required and resolutions.  One complaint received via the Health and Disability Commissioner in 2015 did not evidence contact with the complainant, investigation of issues or development of a corrective action plan following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complaints were reviewed from 2015 (there have been none in 2016).   Two, including one via the DHB, were managed within the required timeframes as determined by the Health and Disability Commissioner.  A corrective action plan was developed and implemented following the complaint involving the DHB.  The one complaint received via the Health and Disability Commissioner in 2015 was referred to HealthCERT, with a request of review of the issues during this audit.  The audit identified appropriate management of resident privacy, independence and respect, appropriate menu and food management services, appropriate maintenance management systems including repair of minor and more major issues and preventative maintenance and suitable toileting, shower/bathing and communal facilities.  Complaints are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Regular contact is maintained with family including if an incident or care/health issues arises.  Two families (one from the hospital and one from the rest home) interviewed stated they were kept well informed.  Ten incident/accident forms were reviewed and identified that the next of kin were contacted or if not, justification as to why.  Residents’ meetings are held two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interpreter services through the District Health Board.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Helena’s is part of the Radius Residential Care Group.  St Helena’s cares for up to 52 residents requiring hospital and rest home level care.  All rooms can be used for either hospital or rest home level care.  On the day of the audit, there were twenty-five rest home level residents including two on young persons with disabilities contracts and sixteen hospital residents including two on long term chronic conditions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St Helena’s business plan April 2014 to March 2017 is linked to the Radius Care Group strategies and business plan targets.  The mission statement is included in information given to new residents.  An organisational chart is in place.  Comprehensive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began employment in the role in November 2015, having previously managed aged care services.  She is supported by an acting clinical manager (while the clinical manager is on maternity leave) and the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quality and risk management system is in place.  Policies and procedures reflect evidence of regular reviews as per the document control schedule.  New and/or revised policies are made available for staff to read and sign that they have read and understand the changes.  Policies and procedures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monitoring clinical effectiveness, work effectiveness, risk management/falls and consumer participation.  Data is collated and benchmarked against other Radius facilities.  A resident satisfaction survey is conducted each year.  Results for 2015 reflected high levels of resident satisfaction with the services received.  An annual internal audit schedule confirmed audits are being completed as per the schedule.  Corrective actions are developed where opportunities for improvements are identified (with exception refer #1.1.13.1).  There is evidence of corrective actions being communicated to all staff and regularly evaluated.  They are signed off by management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Falls reduction strategies include staff knowing the residents who are at risk, managing challenging behaviours effectively, adhering to residents’ routines and anticipating their needs and intentional rounding with frequencies determined by the resident’s risks of falling.  All healthcare assistants utilise transfer belts to minimise resident harm from falls.</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for accident and incident reporting, injury prevention and management, workplace inspections and hazard management.  The facility has achieved tertiary level ACC Workplace Safety Management Practice (WSMP).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data relating to adverse, unplanned and untoward events.  This includes the collection of incident and accident information.  However, not all pressure injuries were reported through the incident management system.  The reporting system is integrated into the quality and risk management programme.  Once incidents and accidents are reported, the immediate actions taken are documented on incident forms.  The incidents forms are then reviewed and investigated by the registered nurse.  If risks are identified, these are processed as hazards using a hazard identification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discussion with the facility manager has confirmed her awareness of statutory requirements in relation to essential notification.  A section 31 notification was made on the day of the audit relating to the recently healed externally acquired stage III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Five staff files were reviewed (two health care assistants, the acting clinical manager, one registered nurse and the activities coordinator).  Evidence of signed employment contracts, job descriptions, orientation and training were available for sighting.  Annual performance appraisals for staff were completed in files sampled.  Newly appointed staff complete an orientation that is specific to their job duties.  Interviews with care staff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All staff complete a range of competency assessments.  Four of eight registered nurses have completed their interRAI training.  There is not always a staff member on duty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facility manager is an enrolled nurse (practicing certificate has not been maintained) and the clinical manager is a registered nurse.  A minimum of one RN is rostered on duty 24 hours a day, 7 days a week.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was appropriate and safe.  All families and residents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 registered nurse.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Two registered nurses were observed safely and correctly administrating medications.  Not all prescribed medications on charts reviewed had been signed as administered.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medications fridges are monitored daily.  All 10 medication charts had allergies (or nil known) documented.  One resident had copies of prescriptions and more than one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appropriately and regular weekly checks have occurred for ‘as required’ medications.  Routine weekly checks for regular controlled drug medications have not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who self-administer medications.  Not all evidenced a completed competency assessment.  </w:t>
            </w:r>
          </w:p>
          <w:p w:rsidR="00EB7645" w:rsidRPr="00BE00C7" w:rsidP="00BE00C7">
            <w:pPr>
              <w:pStyle w:val="OutcomeDescription"/>
              <w:spacing w:before="120" w:after="120"/>
              <w:rPr>
                <w:rFonts w:cs="Arial"/>
                <w:b w:val="0"/>
                <w:lang w:eastAsia="en-NZ"/>
              </w:rPr>
            </w:pPr>
            <w:r w:rsidRPr="00BE00C7">
              <w:rPr>
                <w:rFonts w:cs="Arial"/>
                <w:b w:val="0"/>
                <w:lang w:eastAsia="en-NZ"/>
              </w:rPr>
              <w:t>Nine of ten (one resident had been at the service less than three months) medication charts reviewed identified that the GP had reviewed the resident three monthly and the medication chart was signed.  Not all charts documented start dates for medications.  All medication charts document the indication for giving the PRN medication.  All eye drops were dated on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they are asked by staff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not all files reviewed contained interventions in the care plans and not all were detailed.  The five files reviewed for this audit demonstrated that in two of five files sampled, all identified areas of need were addressed in the care plan in sufficient detail to guide staff.  The previous shortfall continues to require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fluid balance management plans and pain management plans were evident.  The use of short-term care plans was evident.  In all files sampled and following observation and interviews with staff and residents; the residents are receiving care that meets all their needs.  The GP interviewed stated the facility applied changes of care advice immediately and was complimentary about the quality of service delivery provided.  Resident’s needs are assessed prior to admission and resident’s primary care is provided by the facility GPs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ten residents including two pressure injuries (one grade I and one grade II).  There is evidence in files of the wound specialist referrals.  Wound care is completed within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activity officer who works in the facility across both service levels.  All recreation/activities assessments and reviews are up to date.  On the day of audit, residents were observed being actively involved with a variety of activities in the main lounge and throughout the facility.  Residents have a comprehensive assessment completed over the first few weeks after admission, obtaining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evaluated at least six monthly or earlier if there is a change in health status.  There is at least a three monthly review by the GP.  All (with one exception – link 1.3.5.2) changes in health status are documented and followed up.  Care plan reviews are signed by a registered nurse.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date 1 July 2016).  There are implemented processes for preventative and reactive maintenance and all areas appear well maintained.  All rooms are currently being refurbished as they are vacated (link 1.1.13).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skin and infections that do not require antibiotics.  This is an improvement since the previous audit.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with enablers in the form of bed rails.  These were requested by the residents.  The assessment process ensures enablers are voluntary and the least restrictive option.  This was evident in review of one of the files of a resident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using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2"/>
        <w:gridCol w:w="1280"/>
        <w:gridCol w:w="4360"/>
        <w:gridCol w:w="4832"/>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policies around complaint management and these were implemented for all except one complaint.  A corrective action plan to manage issues identified in the complaint was developed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complaint via the Health and Disability Commissioner did not demonstrate evidence of response to the complainant, investigation or development of a corrective action plan at the time of the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complaints management policies and procedures and legislative requirements are met for all complaints.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two registered nurses interviewed were knowledgeable about the requirement to complete incident forms for pressure injuries.  There was evidence of two previous pressure injuries being reported through the incident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stage II pressure injuries identified in December 2015 did not have incident forms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pressure injuries are reported through the incident reporting and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education programme for registered nurses and healthcare assistants.  The organisation plans for all registered nurses to complete a first aid certificate, to ensure there is a staff member on duty at all times with a first aid certificate.  This has not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ensured that there is not at least one staff member on duty at all times with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at least one staff member on duty at all times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are administered by medication competent staff.  Not all have documented as administered as prescribed.  GP’s complete medication prescription charts three monthly and eight of ten charts have start dates for medications documented on the pharmacy generated chart that is signed by the doctor.  One resident sees several doctors including specialists and not all medications are documented on one prescription chart.  All controlled drugs that are kept for stock use or prescribed ‘as required’ are checked weekly by two staff but regular controlled drugs are not.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Controlled drug checks for regularly prescribed drugs have not had weekly checks completed.</w:t>
            </w:r>
          </w:p>
          <w:p w:rsidR="00EB7645" w:rsidRPr="00BE00C7" w:rsidP="00BE00C7">
            <w:pPr>
              <w:pStyle w:val="OutcomeDescription"/>
              <w:spacing w:before="120" w:after="120"/>
              <w:rPr>
                <w:rFonts w:cs="Arial"/>
                <w:b w:val="0"/>
                <w:lang w:eastAsia="en-NZ"/>
              </w:rPr>
            </w:pPr>
            <w:r w:rsidRPr="00BE00C7">
              <w:rPr>
                <w:rFonts w:cs="Arial"/>
                <w:b w:val="0"/>
                <w:lang w:eastAsia="en-NZ"/>
              </w:rPr>
              <w:t>(ii)  Two of ten medication charts sampled did not have start dates recorded for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resident has two different medication charts and copies of three prescriptions for medications which are not recorded on either drug chart, making it difficult to ascertain what and when medication is due to be administered. </w:t>
            </w:r>
          </w:p>
          <w:p w:rsidR="00EB7645" w:rsidRPr="00BE00C7" w:rsidP="00BE00C7">
            <w:pPr>
              <w:pStyle w:val="OutcomeDescription"/>
              <w:spacing w:before="120" w:after="120"/>
              <w:rPr>
                <w:rFonts w:cs="Arial"/>
                <w:b w:val="0"/>
                <w:lang w:eastAsia="en-NZ"/>
              </w:rPr>
            </w:pPr>
            <w:r w:rsidRPr="00BE00C7">
              <w:rPr>
                <w:rFonts w:cs="Arial"/>
                <w:b w:val="0"/>
                <w:lang w:eastAsia="en-NZ"/>
              </w:rPr>
              <w:t>(iv) Two of ten medication administration records sampled, do not have all prescribed medications signed 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weekly checks occur for all controlled drugs.</w:t>
            </w:r>
          </w:p>
          <w:p w:rsidR="00EB7645" w:rsidRPr="00BE00C7" w:rsidP="00BE00C7">
            <w:pPr>
              <w:pStyle w:val="OutcomeDescription"/>
              <w:spacing w:before="120" w:after="120"/>
              <w:rPr>
                <w:rFonts w:cs="Arial"/>
                <w:b w:val="0"/>
                <w:lang w:eastAsia="en-NZ"/>
              </w:rPr>
            </w:pPr>
            <w:r w:rsidRPr="00BE00C7">
              <w:rPr>
                <w:rFonts w:cs="Arial"/>
                <w:b w:val="0"/>
                <w:lang w:eastAsia="en-NZ"/>
              </w:rPr>
              <w:t>(ii)  Ensure start dates are recorded for all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each resident has all medications recorded on one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(iv) Ensure all medications are administered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around the management of medications for residents who self-administer.  Three residents partially self-administer medications and all have safe areas to store medications in.  One of the three residents had a competency assessment completed around self-administration of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residents who self-administer medication did not have a competency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who self-administer medication have regular competency assessments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were aware of contractual requirements around interRAI.   A reported turnover of interRAI trained registered nurses and a delay in the availability of training are reported to have made these requirements difficult to meet and one file sampled had not met contractual interRAI requirements.  Two of five files sampled had paper based assessments reviewed within timeframes late in 2015 and one file reviewed was not yet due for the risk assessments to be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five files sampled (a hospital resident) did not have an interRAI assessment completed on admission.</w:t>
            </w:r>
          </w:p>
          <w:p w:rsidR="00EB7645" w:rsidRPr="00BE00C7" w:rsidP="00BE00C7">
            <w:pPr>
              <w:pStyle w:val="OutcomeDescription"/>
              <w:spacing w:before="120" w:after="120"/>
              <w:rPr>
                <w:rFonts w:cs="Arial"/>
                <w:b w:val="0"/>
                <w:lang w:eastAsia="en-NZ"/>
              </w:rPr>
            </w:pPr>
            <w:r w:rsidRPr="00BE00C7">
              <w:rPr>
                <w:rFonts w:cs="Arial"/>
                <w:b w:val="0"/>
                <w:lang w:eastAsia="en-NZ"/>
              </w:rPr>
              <w:t>(ii) Two of five files sampled (both rest home) had not had risk assessments reviewed in the past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contractual timeframes are met around interRAI.</w:t>
            </w:r>
          </w:p>
          <w:p w:rsidR="00EB7645" w:rsidRPr="00BE00C7" w:rsidP="00BE00C7">
            <w:pPr>
              <w:pStyle w:val="OutcomeDescription"/>
              <w:spacing w:before="120" w:after="120"/>
              <w:rPr>
                <w:rFonts w:cs="Arial"/>
                <w:b w:val="0"/>
                <w:lang w:eastAsia="en-NZ"/>
              </w:rPr>
            </w:pPr>
            <w:r w:rsidRPr="00BE00C7">
              <w:rPr>
                <w:rFonts w:cs="Arial"/>
                <w:b w:val="0"/>
                <w:lang w:eastAsia="en-NZ"/>
              </w:rPr>
              <w:t>(ii)  Ensure all risk assessments are reviewed (using the interRAI tool)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completed by registered nurses using a template document.  Staff have received training around documentation and care planning and all resident files contained a care plan.  However, not all care plans addressed all identified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care plans sampled did not document interventions for all identified needs in the care plan.  (a) Hospital resident:  The use of Ensure and the need for a fortnightly weigh were not documented in the care plan.  (b) Rest home resident:  The management of diabetes was not sufficiently detailed in the care plan and does not include blood sugar ranges or the management of hypo and hyper glycaemia.  Pain management and falls risk management were not addressed in the care plan.  (c) Rest home resident:  The risks associated with warfarin use, the use of Ensure, falls risk and dietary needs were not addressed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are entered into care plans, and contain sufficient details to guide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Helena's Care Centre</w:t>
    </w:r>
    <w:bookmarkEnd w:id="58"/>
    <w:r>
      <w:rPr>
        <w:rFonts w:cs="Arial"/>
        <w:sz w:val="16"/>
        <w:szCs w:val="20"/>
      </w:rPr>
      <w:tab/>
      <w:t xml:space="preserve">Date of Audit: </w:t>
    </w:r>
    <w:bookmarkStart w:id="59" w:name="AuditStartDate1"/>
    <w:r>
      <w:rPr>
        <w:rFonts w:cs="Arial"/>
        <w:sz w:val="16"/>
        <w:szCs w:val="20"/>
      </w:rPr>
      <w:t>14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