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Wharerangi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Wharerangi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2016</w:t>
      </w:r>
      <w:bookmarkEnd w:id="7"/>
      <w:r w:rsidRPr="009418D4">
        <w:rPr>
          <w:rFonts w:cs="Arial"/>
        </w:rPr>
        <w:tab/>
        <w:t xml:space="preserve">End date: </w:t>
      </w:r>
      <w:bookmarkStart w:id="8" w:name="AuditEndDate"/>
      <w:r w:rsidR="00A4268A">
        <w:rPr>
          <w:rFonts w:cs="Arial"/>
        </w:rPr>
        <w:t>17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Reconfigure the certified services by increasing dual purpose beds by seven from 27 to 34. This to be achieved by reducing dementia beds from 20 to 13 and will mean no change in the total bed number of 47. Both the dual purpose (hospital/rest home) and dementia unit will have nurses stations positioned within them.</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Wharerangi Rest Home and Village (Oceania Care Company Limited) can provide care for up to 47 residents requiring care at either rest home, dementia or hospital level with 46 residents on the day of audit. The reconfiguration of the beds to decrease the number of beds at dementia level and increasing these as dual purpose beds has been achieved with services provided that meet resident needs. </w:t>
      </w:r>
    </w:p>
    <w:p w:rsidRPr="00A4268A">
      <w:pPr>
        <w:spacing w:before="240" w:line="276" w:lineRule="auto"/>
        <w:rPr>
          <w:rFonts w:eastAsia="Calibri"/>
        </w:rPr>
      </w:pPr>
      <w:r w:rsidRPr="00A4268A">
        <w:rPr>
          <w:rFonts w:eastAsia="Calibri"/>
        </w:rPr>
        <w:t>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the regional and executive management team. Service delivery is monitored.</w:t>
      </w:r>
    </w:p>
    <w:p w:rsidRPr="00A4268A">
      <w:pPr>
        <w:spacing w:before="240" w:line="276" w:lineRule="auto"/>
        <w:rPr>
          <w:rFonts w:eastAsia="Calibri"/>
        </w:rPr>
      </w:pPr>
      <w:r w:rsidRPr="00A4268A">
        <w:rPr>
          <w:rFonts w:eastAsia="Calibri"/>
        </w:rPr>
        <w:t xml:space="preserve">Requirements identified at the previous audit around the quality and risk management programme, human resources and documentation of clinical care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Complaints reviewed are investigated with documentation completed and stored in the complaints folder. Staff communicate with residents and family members following any incident with this recorded in the residents’ files.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Wharerangi Rest Home and Village have documentation of the Oceania quality and risk management system that supports the provision of clinical care and support. Policies are reviewed and the business status reports allow for the monitoring of service delivery. Benchmarking reports include clinical indicators, incidents/accidents, infections and complaints with an internal audit programme implemented. Corrective action plans are documented with evidence of resolution of issues.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Care plan evaluations are documented, resident focused and indicate progress towards meeting residents’ desired outcomes. Where progress of a resident is different from expected, the service responds by initiating changes to the long term care plan. Short term problems are recorded on short term care plans. Family have opportunity to contribute to care planning and care plan reviews.</w:t>
      </w:r>
    </w:p>
    <w:p w:rsidRPr="00A4268A" w:rsidP="00621629">
      <w:pPr>
        <w:spacing w:before="240" w:line="276" w:lineRule="auto"/>
        <w:rPr>
          <w:rFonts w:eastAsia="Calibri"/>
        </w:rPr>
      </w:pPr>
      <w:r w:rsidRPr="00A4268A">
        <w:rPr>
          <w:rFonts w:eastAsia="Calibri"/>
        </w:rPr>
        <w:t>Recreational assessment and recreational plans are completed for residents. Activities are planned and there is evidence of input to the activities programme by a diversional therapist. The activities programme is available to residents throughout the service. Residents in the dementia unit have challenging behaviour plans to manage their behaviour over 24 hours.</w:t>
      </w:r>
    </w:p>
    <w:p w:rsidRPr="00A4268A" w:rsidP="00621629">
      <w:pPr>
        <w:spacing w:before="240" w:line="276" w:lineRule="auto"/>
        <w:rPr>
          <w:rFonts w:eastAsia="Calibri"/>
        </w:rPr>
      </w:pPr>
      <w:r w:rsidRPr="00A4268A">
        <w:rPr>
          <w:rFonts w:eastAsia="Calibri"/>
        </w:rPr>
        <w:t xml:space="preserve">The medication management system evidences processes for reconciliation, prescribing, administration, dispensing, storage and disposal of medicines. Medicine management training is conducted. There is one resident in the rest home that self-administers medicines. Self-administration of medicines is congruent with legislative requirements. All staff responsible for medicines management have current medication competencies. </w:t>
      </w:r>
    </w:p>
    <w:p w:rsidRPr="00A4268A" w:rsidP="00621629">
      <w:pPr>
        <w:spacing w:before="240" w:line="276" w:lineRule="auto"/>
        <w:rPr>
          <w:rFonts w:eastAsia="Calibri"/>
        </w:rPr>
      </w:pPr>
      <w:r w:rsidRPr="00A4268A">
        <w:rPr>
          <w:rFonts w:eastAsia="Calibri"/>
        </w:rPr>
        <w:t>Food and nutritional needs of residents are provided in line with recognised nutritional guidelines and menus are reviewed by a dietitian. Food service complies with current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There is a secure dementia unit that includes indoor and outdoor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There were two residents using restraint and no residents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providers policies which suits their size and service type. Data on the nature and frequency of identified infections is collated and analysed. The results of surveillance are reported through all levels of the organisation, including governance and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6"/>
        <w:gridCol w:w="1280"/>
        <w:gridCol w:w="10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the date the complaint was resolved. Evidence relating to each lodged complaint is held in the complaints folder. There have not been any complaints in 2016. Two complaints lodged in 2015 were tracked and these indicate that all timeframes are met, as per policy, when responding to the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forwarded by the Health and Disability Commission or any other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documentation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were no residents requiring interpreting services at the time of the audit. All residents interviewed confirm that staff are approachable and communicate in a way that meets their needs. The business and care manager has an open door policy that allows residents, family and staff to communicate any issues at any time. There are also resident and family meetings with minutes reviewed indicating that residents and family can discuss issues.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Wharerangi Rest Home and Village is part of the Oceania Care Company Limited with the executive management team including the chief executive officer and general manager, regional operational manager and clinical and quality manager who provided support to the service on the days of the audit. Communication between the clinical and quality manager, the regional operations manager and the business and care manager takes place on a regular basis (at least once every six weeks) with more support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47 residents requiring rest home, dementia or hospital level of care. At the time of the audit, there are 34 dual purpose beds (hospital or rest home level of care) and 13 dementia level beds. The audit confirms that Wharerangi Rest Home and Village has reconfigured the number of dementia beds by reducing the number from 20 at the previous audit to 13 and increasing the number of dual purpose beds from  27 to 34. There is no change to the role of the clinical manager or business and care manager required. The clinical manager is able to describe allocation of staffing to acuity of residents.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 occupancy was at 46 with 12 residents in the dementia unit, 22 residents requiring rest home level care and 12 residents requiring hospital level care. There were no residents aged less than 65 years of 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with the service for eight years with eighteen months in the current role. The business and care manager has a certificate in business management. The clinical manager (registered nurse) provides clinical oversight of the service and has been in the role for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Wharerangi Rest Home and Village use the Oceania quality and risk management framework that is documented to guide practice. The business plan is documented and reporting occurs through the business status reports and a monthly summary completed by the business and care manager and clinical manager. This includes financial monitoring, review of staff costs, progress against the healthy workplace action plan, review of complaints, incident and relationships.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and best practice guidelines. Policies are readily available to staff and new and revised policies are signed by staff to say that they have read and understand them. The policy around pressure injuries has been reviewed in 2016 and has been read by all staff as confirmed by the business and care manager interviewed.</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and implementation of an internal audit programme. Quality improvement data is analysed through meetings and benchmarking. Corrective action plans are documented with evidence of analysis, discussion of data and documentation of evidence of resolution of issues. This includes resolution of issues identified at meetings, in satisfaction surveys with a report documented and in results from internal audits.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management; health and safety; staff; quality; registered nurse; infection control. There are separate resident and family meetings bi-monthly (alternating months). The resident and family meetings have been held regularly as per meeting minutes reviewed from July 2015 and 2016 to date. The improvement required at the previous audit has been met. All staff interviewed report that they are kept informed of quality improvements and are able to have input into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and there is an annual health and safety plan implemented and monitored. There is a documented hazard management programme and a hazard register for each part of the service. Any hazards identified are signed off as addressed or risks are minimised or isolated. Staff have training and support around management of residents with challenging behaviours and there is a meeting held with the business and care manager and relevant staff in the dementia unit on a three monthly basis to provide support, training and opportunities for discussion of any issues. Staff state that this helps to minimise risks for staff working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There is a six monthly satisfaction survey for residents and family. The survey completed in February 2016 indicates that residents and family are satisfied with the service overall. The resident and family meetings held in March and April 2016 confirm that the satisfaction survey report has been tabled with any opportunities for improvement discussed. The improvement required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the clinical manager are aware of situations in which the service would need to report and notify statutory authorities including: police attending the facility; unexpected deaths; sentinel events around pressure injuries; critical incidents and infectious disease outbreaks. Times when authorities have had to be notified would be documented and retained on the relevant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reviews all incidents and documents strategies to manage clinical care with the business and care manager reviewing and signing off all 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(RN)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References are documented as being completed for new staff. The improvements required at the previous audit around criminal vetting, performance appraisal for the clinical manager and reference checking have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The clinical manager has completed an orientation with evidence of this documented.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RNs receive training from the district health board that includes relevant topics such as: pain management; wound management; nutrition; medication administration and falls. There are four RNs trained to complete interRAI assessments, including the clinical manager. The training register and training attendance sheets show staff completion of annual medication and other competencies such as: hoist; oxygen use; hand washing; wound management; moving and handling; restraint; nebuliser; blood sugar and insulin.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around pressure injuries (PI) in 2015 and 2016. This includes specific in-depth training around wound management and dressings for registered nurses including training around PIs and identification and monitoring of PIs for other care staff. The service has moved to having a day a year training for health care assistants and the plan continues to include training around incontinences products and prevention of PIs.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health care assistants working in the dementia unit have completed training around dementia and all others are currently enrolled in training around supporting residents with dementia.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dementia,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during the weekdays. The same staffing model is applied at weekends. </w:t>
            </w:r>
          </w:p>
          <w:p w:rsidR="00EB7645" w:rsidRPr="00BE00C7" w:rsidP="00BE00C7">
            <w:pPr>
              <w:pStyle w:val="OutcomeDescription"/>
              <w:spacing w:before="120" w:after="120"/>
              <w:rPr>
                <w:rFonts w:cs="Arial"/>
                <w:b w:val="0"/>
                <w:lang w:eastAsia="en-NZ"/>
              </w:rPr>
            </w:pPr>
            <w:r w:rsidRPr="00BE00C7">
              <w:rPr>
                <w:rFonts w:cs="Arial"/>
                <w:b w:val="0"/>
                <w:lang w:eastAsia="en-NZ"/>
              </w:rPr>
              <w:t>There were 42 staff at the time of the audit, including the business and care manager and the clinical manager. Household staff are appointed and include cleaners, laundry and kitchen staff who provide services seven days a week. An activities coordinator facilitates activities five days a week in all areas with staff providing activities at other times. There are six RNs employed in the service with a RN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allocated specifically to the dementia unit. There is a senior health care assistant who provides oversight for care in the dementia unit with support from the clinical manager and RNs. There is at least one health care assistant on duty in the dementia unit with two health care assistants in the morning and over dinner and bedtime in the evening. Staff in the dementia unit are able to call other staff through a pendant alarm carried by staff in the dementia unit with this lighting up on the callboard in the rest home/hospital area. Staff in the dementia unit state that if they call, staff respond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has been adjusted to reflect the change in numbers of residents both in the dementia unit and for residents occupying the dual purpose beds with extra staff added to both morning and afternoon shifts. Staff specifically state that they are aware of the layout of the building and response to needs of residents in all areas of the facility with particular reference to residents requiring more care in the rooms now identified as being dual purpose beds (initially dementia level care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on call after hours. A senior RN or a clinical manager from a neighbouring facility is on call if the clinical manager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The registered nurses and the clinical manager complete weekly checks and six monthly physical stocktakes are completed by a pharmacist from the local pharmacy. The medication fridge temperatures are conducted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The medication round was observed during lunch time. The staff member was knowledgeable about how to identify the appropriate resident, checking the medicines against the script/administration sheet, appropriate communication with the resident, administration and sign off at the end of the process. Administration records and specimen signatures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the rest home self-administering medicines and this was conducted, according to policy. Three monthly medicines reviews were conducted for the residents within the required timeframes. Medication audits have been conducted and corrective actions are implemented following the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cook confirmed kitchen staff have completed food safety training, and this was verified by food safety certificates. Interview with the cook confirmed they were aware of the residents’ individual dietary and nutritional needs. The residents' files demonstrate monthly monitoring of individual resident's weight. Interviews with residents confirmed they are satisfied with the food services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environment was clean, well-lit and uncluttered. There was evidence of kitchen cleaning schedules, signed off as cleaning is completed. Fridge, chiller and freezer temperatures as well as food temperatures are monitored regularly and recorded.</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April 2016. Review of residents’ files, dietary profiles and kitchen documentation showed evidence of residents being provided with nutritional meals and meals such as special diets, pureed meals are available along with alternative nutrition appropriate to the residents.. There was enough stock to last for three days, feeding all residents in an emergency situation. Food services are discussed during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 centred care plans (PCCP) evidence the required interventions, desired outcomes or goals of the residents. The GP documentation and records are current. Interviews with residents and family confirm their and their relatives’ care and treatments meet their needs. Family communication is recorded in the residents’ files. Nursing progress notes and observation charts are maintained. Interviews with staff confirmed they are familiar with the current needs and required interventions of the resident they were caring for. Handover attendance confirmed staff members being aware of the specific needs of the residents they care for on the specific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activity coordinator who receives input and has oversight from a diversional therapist (DT). The DT, from another site, oversees the residents’ activity programmes. Interview with staff responsible for activities (health care assistants help out with the implementation of the programmes in the different areas of service delivery), confirmed the activities programme is available to all residents in the hospital, rest home and the dementia unit.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assessments and activities care plans in residents’ files reviewed. Activities care plans in the residents’ files reviewed had intervention relating to the activities goals. The residents’ activities attendance records are maintained as are activities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their participation in care plan evaluations and multidisciplinary reviews. Residents’ progress records are entered on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There is recorded evidence of additional input from professionals, specialists or multidisciplinary sources,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requirements for improvement relating to the person centred care plans not reflecting the degree of achievement in the review of care plans are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at the end of May 2016 with a new building warrant of fitness being processed).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Previously, the dementia unit was a secure unit for 20 residents. The number of beds in the dementia unit has been reduced to 13 with the swipe card access re-enabled on the internal doors between the dementia unit and the dual purpose beds. The dual purpose beds have been increased from 27 to 34 with all accommodating equipment and staff required to support residents requiring either hospital or rest home level care. The dual purpose bedrooms have a width of one and a half doors to allow easy access into the rooms. The nurse’s station in the rest home/hospital area is centrally situated and there is a separate nurse’s station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both the maintenance staff and documentation confirmed implementation of this. There is also reactive maintenance with the maintenance staff prioritising any issues daily. There is evidence documented of resolution of any maintenance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There is a separate lounge and dining area for residents in the dementia unit and a secure outdoor area that encourages residents to engage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this is sufficient.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Quality indicators are reported on monthly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(RN) is responsible for the surveillance programme. Monthly surveillance analysis is completed and reported at staff meetings. Standardised definitions are used for the identification and classification of infection events, indicators or outcomes. Infection logs are maintained for infection events.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ICC confirmed no outbreak had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use at the facility is congruent with the definition in the standard. There is a job description for the position of the restraint coordinator. The restraint coordinator is the clinical manager. There were two restraints and no enablers being used in the facility on audit days. The process of assessment, care planning, monitoring and evaluation of restraint and enabler use is recorded and reviewed. Restraint and enabler use are documented in residents’ care plans and up to 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Wharerangi Care Centre</w:t>
    </w:r>
    <w:bookmarkEnd w:id="58"/>
    <w:r>
      <w:rPr>
        <w:rFonts w:cs="Arial"/>
        <w:sz w:val="16"/>
        <w:szCs w:val="20"/>
      </w:rPr>
      <w:tab/>
      <w:t xml:space="preserve">Date of Audit: </w:t>
    </w:r>
    <w:bookmarkStart w:id="59" w:name="AuditStartDate1"/>
    <w:r>
      <w:rPr>
        <w:rFonts w:cs="Arial"/>
        <w:sz w:val="16"/>
        <w:szCs w:val="20"/>
      </w:rPr>
      <w:t>16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