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Agape Care Limited - Milton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Agape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Milton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April 2016</w:t>
      </w:r>
      <w:bookmarkEnd w:id="7"/>
      <w:r w:rsidRPr="009418D4">
        <w:rPr>
          <w:rFonts w:cs="Arial"/>
        </w:rPr>
        <w:tab/>
        <w:t xml:space="preserve">End date: </w:t>
      </w:r>
      <w:bookmarkStart w:id="8" w:name="AuditEndDate"/>
      <w:r w:rsidR="00A4268A">
        <w:rPr>
          <w:rFonts w:cs="Arial"/>
        </w:rPr>
        <w:t>14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Milton Court Rest Home is privately owned and operated.  The rest home provides rest home and dementia level of care for up to 36 residents.  On the day of the audit there were 31 residents.</w:t>
      </w:r>
    </w:p>
    <w:p w:rsidRPr="00A4268A">
      <w:pPr>
        <w:spacing w:before="240" w:line="276" w:lineRule="auto"/>
        <w:rPr>
          <w:rFonts w:eastAsia="Calibri"/>
        </w:rPr>
      </w:pPr>
      <w:r w:rsidRPr="00A4268A">
        <w:rPr>
          <w:rFonts w:eastAsia="Calibri"/>
        </w:rPr>
        <w:t>The director is the manager and a registered nurse with a current practicing certificate.  She is supported by a full-time registered nurse and long serving staff.  The residents and relatives spoke positively about the care and supports provided at Milton Court Rest Home.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Improvements are required around quality data in meeting minutes, internal audit corrective actions, completion of adverse event forms, evaluations and medication fridge temperature monitoring.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displayed in the entrance.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Milton Court Rest Home is implementing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Human resources policies are in place including a documented rationale for determining staffing levels and skill mixes.  There is a roster that provides sufficient and appropriate coverage for the effective delivery of care and there is sufficient staff on duty at all times.  There is an implemented orientation programme that provides new staff with relevant information for safe work practice.  The education planner included mandatory educational requirements.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There is sufficient information gained through the initial support plans, specific assessments, discharge summaries and the care plans to guide staff in the safe delivery of care to residents.  The care plans are resident and goal orientated and reviewed every six months or earlier if required with input from the resident/family as appropriate.  Allied health and a team approach were evident in the resident files reviewed.  The general practitioner reviews residents at least three monthly.  </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rest home and dementia care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and senior healthcare assistants who administer medications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All meals are cooked on-site.  Residents' food preferences, dislikes and dietary requirements are identified at admission and accommodated.  Nutritious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an adequate number of communal shower and toilet facilities.  The dementia unit is secure and provides a safe indoor and outdoor environment for residents.  There is safe access to all communal areas.  External areas are safe and well maintained with shade and seating available.  Fixtures, fittings and flooring are appropriate and toilet/shower facilities are constructed for ease of cleaning.  Cleaning and laundry services are monitored through the internal auditing system.  Appropriate training, information and equipment for responding to emergencies are provided.  There is an approved evacuation scheme and emergency supplies for at least three days.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maintains a restraint-free environment.  There are policies and procedures to follow in the event that restraint or enablers are required.  There were no residents using restraints or enablers.  Staff have attended education on restraint, dementia and delirium within the last year.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8"/>
        <w:gridCol w:w="1280"/>
        <w:gridCol w:w="9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(rest home) and relatives (two rest home and two dementia level of care) interviewed confirmed that information has been provided around the Code of Rights and their rights are respected when receiving resident related services and care.  There is a resident rights policy in place.  Discussion with one registered nurse and two healthcare assistants (HCAs) (who work across the rest home and dementia care unit)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forms were evident on all resident files reviewed.  There is documented evidence of discussion with resident/family when clinically indicated ‘not for resuscitation’ has been signed by the GP.  General consent forms were evident on files reviewed.  Discussions with staff confirmed that they are familiar with the requirements to obtain informed consent for personal care, entering rooms etc.  Enduring power of attorney evidence is sought prior to admission and is filed with the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Health and Disability Commissioner Code of Health and Disability Services Consumers’ Rights (the Code) and advocacy pamphlets on entry.  Resident advocates are identified during the admission process.  Pamphlets on advocacy services are available at the facility entrance.  Interviews with the residents and relatives confirmed their understanding of the availability of advocacy services.  Staff receives education and training on the role of advocacy services.  Care staff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Rest home residents interviewed confirmed that family and friends are able to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and written is maintained by the manager (privacy officer) using a complaints’ register.  There have been no complaints for 2015 since the previous audit.  There have been two complaints to date for 2016.  The complaints have been managed in line with Right 10 of the Code.  A review of complaints documentation evidence resolution of the complaint to the satisfaction of the complainant and advocacy offered.  Residents and family members advised that they were aware of the complaints procedure.  Discussion around concerns, complaints and compliments were evident in facility meeting minutes.  Concerns/complaints forms are available at the front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Code of Health and Disability Services Consumers’ Rights.  The Code of Rights (in English and Māori) is clearly displayed at the main entrance to the rest home.  There is a welcome information folder that includes information about the Code of Rights.  The resident, family or legal representative has the opportunity to discuss this prior to entry and/or at admission with the manager.  The manager and RN are available to discuss concerns with residents and families at any time.  Residents and relatives state they receive sufficient verbal and written information to be able to make informed choices on matters that affect them or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  During the audit, staff were observed treating residents with respect and ensuring their dignity is maintained.  Staff interviewed were able to describe how they maintain resident privacy.  Staff sign a confidentiality clause on employment.  Staff attends privacy and dignity and abuse and neglect as in-service training as part of their annual training plan.  Resident’s cultural, social, religious and spiritual beliefs are identified on admission and included in the residents’ care plan/activity plan to ensure the resident receives services that are acceptable to the resident/relative.  Care staff state they promote resident independence with daily activities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staff in the delivery of culturally safe care.  The policy includes references to other Māori providers that are available and interpreter services.  The Māori health plan identifies the importance of whānau.  On the day of the audit there were no residents that identified as Māori.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recognises and responds to values, beliefs and cultural differences.  Residents are encouraged and supported to attend church services and other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were observed to be professional within the culture of a family environment.  Staff have been trained to provide a supportive relationship based on sense of trust, security and self-esteem.  Registered nurses are supported to attend district heath board (DHB) training as offered.  Interviews with HCAs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committed to providing services of a high standard, based on the service philosophy of care and shared values.  This was observed during the day with the staff demonstrating a caring attitude towards the residents.  All residents and families interviewed spoke positively about the care provided.  The service has implemented policies and procedures from a recognised aged care consultant that adhere to relevant standards.  Care staff and RNs also have access/reference to aged care best practice guidelines.  Staff has a sound understanding of principles of aged care and state that they feel supported by management.  Monthly meetings enhance communication between the teams and provide consistency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 were aware of the open door policy and confirm on interview that the staff and management are approachable and available.  Residents/relatives have the opportunity to feedback on service delivery through three monthly resident and relative meetings and annual surveys.  Meeting minute’s evidence previous matters are discussed and closed out as concerns are resolved.  Accident/incident forms reviewed evidenced relatives had been informed promptly of any incidents/accidents.  Relatives interviewed state they are notified of any changes to resident’s health status and are kept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that is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Milton Court Rest Home provides rest home level of care and dementia level of care for up to 36 residents.  There are 16 rest home beds and 20 dementia care beds.  On the day of audit there were 15 rest home residents and 16 residents in the dementia unit.  There was one younger person under a long term chronic health condition contract.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Milton Court is privately owned and operated by one director/joint owner of the company since 2014.  The owner is the manager and a registered nurse (RN) with a current practicing certificate.  The other joint owner has responsibilities for the building maintenance and is the facility health and safety officer.  The owner/RN is responsible for the daily operation of the business and is on-site Monday to Friday and shares the on call with the other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supported by a full-time registered nurse who has been at Milton Court since graduation in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business plan in place for 2016 which identifies the philosophy of care, mission statement, business objectives and specific aims for the service.  The 2015 business goals and objectives have been reviewed.  Achievements and quality improvements for 2015 were the establishment of management meetings, external painting, refurbishment of three bedrooms, replacement of carpet in the hallway of the dementia care unit and replacement of carpet with vinyl in one wing of the dementia care unit.  Some goals that had not been fully achieved have been included in the 2016 business plan/objectives.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related to managing a rest home and dementia care facility.  Professional development includes interRAI training, attendance at a three day dementia care study day and attending district health board manager meetings three times a year.  The manager is a Careerforce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there is an agreement with another manager in the area to provide management cover.  In the event of the other manager being unavailable an agency will provide a suitable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are developed by an external consultant and reviewed regularly.  A review log is at the front of each policy manual that evidenced reviews in November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meetings are held monthly and include quality improvement, infection control and health and safety.  Monthly manager, RN and supervisor meetings have commenced.  Meeting minutes for both meetings did not evidence discussion around quality data.  An annual internal audit programme is in place and audits have been completed as scheduled.  Audit corrective action forms/quality improvement forms are raised where the results are less than expected however the corrective actions have not been completed and/or signed off as completed.  The meeting minutes do not evidence discussion around audit outcomes or improvements.  The service completes an annual resident/relative satisfaction survey.  The results have not been communicated back to the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joint owner is responsible for building maintenance and is a health and safety officer who has completed level one and two of health and safety qualifications.  Staff complete hazard forms for identified hazards which are reviewed by the health and safety officer.  There is a hazard register for each area of work that was last reviewed November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reporting of falls and the identification of interventions on a case by case basis to minimise future falls (link 1.2.4.3).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risk management and health and safety framework, there is an accident/incident policy.  Five accident/incidents from December 2015 and four accident/incidents from February 2016 were reviewed.  All incident forms identified timely RN assessment of the resident and corrective actions to minimise resident risk.  However, accident/incident forms reviewed had not been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could discuss the incident reporting process.  The manager collects incidents/accidents monthly to identify and analyse areas of improvement and identify if accidents/incidents could be prevented.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interviewed could describe situations that would require reporting to relevant authorities.  There have been no reportable events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reviewed (one RN, three healthcare assistants (HCAs), one cook and one cleaner).  All files contained relevant employment documentation including current performance appraisals and completed orientations.  The orientation programme provides new staff with relevant information for safe work practice.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are supported to commence Careerforce aged care qualifications following appointment and are supported by the manager who is a Careerforce assessor.  The manager and RN attend external education at the DHB and have completed interRAI training.  A two yearly training calendar includes mandatory education.  Infection control and medication are scheduled and have been attended annually.  The gerontology nurse specialist provides clinical education.  Staff completes competencies relevant to their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HCAs work in the dementia care unit and eleven have completed the required dementia unit standards.  Two HCAs who have been employed less than one year have one dementia unit standard to complete.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resources policy determines staffing levels and skill mixes for safe service delivery.  There is a roster that provides sufficient and appropriate coverage for the effective delivery of care and support.  The manager and RN are on duty during the day Monday to Friday and share the on call responsibility.  An experienced HCA is the day supervisor who coordinates the team of HCAs on duty.</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numbers in the rest home and the dementia care unit that meets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were adequate staff on duty at all times.  Staff state they feel supported by the manager and the RN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well-developed information packs available for residents/families at entry for rest home and dementia level of care.  The admission agreements reviewed meet the requirements of the ARCC.  Exclusions from the service are included in the admission agreement.  Six admission agreements viewed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There is a consent form in place and there is safe storage of the medication.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blister pack system.  All medication packs have large photo identification.  Medications are checked on arrival and any pharmacy errors are recorded and fed back to the supplying pharmacy.  In the rest home and dementia unit registered nurses or senior caregivers who have passed their competency, administer medications.  Medication competencies are updated annually and staff attends annual education.  There are no standing orders.  The medication fridge temperatures are not monitored.  Eye drops were dated when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sheets held with the medicine charts.  Medication administration signing sheets correspond with prescribed medication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All charts were legible, up to date and reviewed at least three monthly by the G.P.  Allergy status was recorded on all medication charts.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cooks.  One works Monday to Friday and the other covers the weekends.  Both have current food safety certificates.  The week day cook oversees the procurement of the food and management of the kitchen.  There is a well equipped kitchen and all meals are cooked on-site.  Meals are served from the kitchen located within the dementia unit and delivered to the rest home on trolleys with insulated covers.  On the day of audit meals were observed to be hot and well presented.  There is a kitchen manual and a range of policies and procedures to safely manage the kitchen and meal services.  Audits are implemented to monitor performance.  Kitchen fridge, food and freezer temperatures were monitored and recorded daily.  These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were noted in a kitchen folder.  The menus have been audited and approved by an external dietitian.  Residents and families interviewed were very happy with the meals provided.  There was evidence that there are additional nutritious snacks available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and long-term care plans reviewed were comprehensively completed for all resident files reviewed.  Risk assessments are completed on admission and reviewed six monthly as part of the care plan review.  InterRAI assessments were completed for all new admissions.  InterRAI assessments are scheduled to be completed for other residents as their care plan evaluations become due in 2016.  All interRAI assessments sighted inform the care plans.  Additional assessments for management of behaviour and wound care were appropriately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evidenced multidisciplinary involvement in the care of the resident.  All care plans were resident-centred and documented support needs to achieve the resident/relative goals.  Residents and family state they are involved in the care planning process.  Long-term care plans for residents in the dementia unit detail care and support for behaviours that challenge, including triggers, associated risks, interventions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were evaluated on a regular basis and signed off as resolved or transferred to the long-term care plan if an ongoing problem.  There was evidence of service integration with documented input from a range of specialist care professionals including the podiatrist, geriatrician, gerontology nurse practitioner and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included documentation that meets the need of the residents and care plans had been updated as residents` needs changed.  When a resident’s condition changes, the RN initiates a GP or nurse specialist consultation.  Changes in care are documented on short-term care plans and communicated at handovers as confirmed by HCAs interviewed.  There is documented evidence of family notification on the family/whānau communication sheets in resident files reviewed.  Family members interviewed confirm they are notified of any changes in their relative’s health status.  Family and residents state care delivery and support by staff is consistent with their expectations.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management and monitoring occurred as planned.  There are currently four wounds (two minor wounds, one leg ulcer and one skin tear).  All have appropriate care documented and provided.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observations and wounds.  Behaviour charts were in use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(42.5 hours weekly) and one activities assistant (12 hours weekly).  One has completed dementia training and one is in the process of completing the standards.  On the days of audit, residents in all areas were observed being actively involved with a variety of activities.  There were daily exercise classes and the dementia unit residents go for a group walk every morning.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on display for the rest home residents.  The activity programme in the dementia unit programme is flexible and suitable to the residents group or individual needs on the day including frequent one on one activity.</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include a volunteer who comes in weekly and Lay Catholic personnel for weekly Mass.  Other residents are supported to attend their community churches.  Bible study sessions are provided on-site for those who wish to attend.  There are van outings twice weekly for both groups of residents.  There are regular entertainers visiting the home.  On the day of audit rest home residents were observed enjoying musical entertainment.  Events such as birthdays and special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individual activity plan is based on this assessment.  The residents' activity care plans have de-escalating techniques for residents with behaviour that might challenge over 24 hours.  Activity plans have been completed but not evaluated six monthly (link 1.3.3.4).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an improved activity assessment tool for the use of residents with cognitive impairment.  The assessment tool focuses on person-centred care for residents in the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out of six care plans reviewed were evaluated by the registered nurses six monthly or when changes to care occurs (link 1.3.3.4).  Care plan evaluations link to specific goals.  Short-term care plans for short term needs reviewed were evaluated and signed off as resolved or added to the long-term care plan as an ongoing problem.  The multidisciplinary review involves the RN, GP and resident/family if they wish to attend.  There is at least a three monthly review by the medical practitioner with residents in the rest home and dementia unit.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one resident had been referred to mental health services and another to the podiatrist.  Discussion with the RN identified that the service has access to a wide range of support either through the GP, specialists and contracted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regarding chemical safety and waste disposal.  Management of waste and hazardous substances is covered during orientation and staff have attended chemical safety training.  All chemicals were clearly labelled with manufacturer’s labels and stored in locked areas in all areas.  Safety data sheets and product sheets are available.  Sharps containers are available and meet the hazardous substances regulations for containers.  Hazard register identifies hazardous substance and staff indicated a clear understanding of processes and protocols.  Gloves, aprons and goggles are available for staff.  The maintenance person described the safe management of hazardous material.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occurs.  Electrical equipment has been tested and tagged.  New chair scales are due to be tested in May. There is a planned maintenance programme in place.  Hot water temperatures have been monitored monthly in resident areas and were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hallways and rest home rooms are carpeted and the dementia rooms have vinyl surfaces as do bathrooms/toilets and kitchen areas.  All hallways are wide enough to promote safe mobility with the use of mobility aids.  Residents were observed moving freely around the areas with mobility aids where required.  The external areas and gardens were well maintained.  There are outdoor areas with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is secure from the rest of the facility.  There is a large secure external courtyard and garden for the dementia residents.  There are quiet, low stimulus areas that provide privacy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communal toilets and showers in the rest home and dementia unit.  One rest home room has an ensuite and all but four rooms have their own toilet and hand basin.  In the dementia unit only four rooms have their own toilet and hand basin.  Fixtures, fittings and flooring is appropriate and toilet/shower facilities are constructed for ease of cleaning.  Communal toilets and bathrooms have appropriate signage and locks on the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in the rest home and dementia unit are of an adequate size to allow care to be provided and for the safe use of mobility aids.  Mobility aids can be managed in ensuite/toilet facilities.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occur throughout the facility in the lounge/dining areas.  The rest home open plan lounge/dining area is large enough to not impact on other residents who are not involved in activities.  Seating and space is arranged to allow both individual and group activities to occur.  There is a smaller family lounge where residents who prefer quieter activities or visitors may sit.  All communal areas are easily accessed.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dementia unit there is adequate space to allow maximum freedom of movement while promoting safety for those that wander.  There are two lounge/dining areas which can be used for separate dining and activities (small group or individual).  There are spaces for residents who prefer quiet, low stimulus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on-site.  The laundry is well organised and is divided into a “dirty” and “clean” area.  Staff interviewed state that they manage the workload adequately.  There are appropriate systems for managing infectious laundry which laundry staff could describe.  There is a comprehensive laundry and cleaning manual.  Cleaning and laundry services are monitored through the internal auditing system.(link 1.2.3.6)  The cleaners’ equipment was attended at all times or locked away in the sluice rooms as sighted on the day of the audit.  There is a sluice room in the rest home and dementia unit for the disposal of soiled water or waste.  The sluice rooms and the laundry are kept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Civil defence supplies, adequate food and water and a barbeque for alternative cooking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evacuations are held.  There is an approved fire evacuation plan dated 21 June 1996.  The plan is currently being reviewed by the fire service.  There have been no building changes.  There is a first aider on duty at all times.  </w:t>
              <w:br/>
              <w:t xml:space="preserve">Resident’s rooms, communal bathrooms and living areas all have call bells.  On the day of audit the call bells had failed.  The manager and staff had implemented their emergency system which included the use of whistles to alert staff assistance was required and the additional staff member completed frequent rounds of all residents.  The technician responded promptly to address the technical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policies and procedures are documented and implemented by staff.  The dementia unit is safe and secure with outdoor access to gardens.  The buildings are secure with 24 hour intercom access to request entry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plenty of natural light.  There are electric panel heaters in all rooms.  There are oil heaters in lounge/dining areas which are used for extra warmth in winter.  Smoking is only allowed outside in the car port area.  Apart from this, the facility and grounds are a smoke-free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are shared between the manager/RN and the RN.  They oversee infection control for the facility.  Infection events are collated monthly and reported to management meetings and staff/quality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that has been reviewed annually last in April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have attended infection control and prevention education provided by the DHB residential aged care programme.  The infection control coordinators have access to GPs, local laboratory, the infection control nurse at the local DHB for advice and the gerontology nurse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were last reviewed April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coordinators are responsible for coordinating/providing education and training to staff.  Training on infection control is included in orientation and as part of the annual training schedule.  Staff complete hand hygiene competencies annually.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Individual infection reports are completed for all infections.  Infections are analysed for trends and quality improvements.  Graphs and relevant information is communicated to staff and documented in management and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for infection control are included in the annual audit schedule (link 1.2.3.6).  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manager/RN is the restraint coordinator.  On the day of the audit there were no residents on restraints or enablers.  Restraint education and challenging behaviours is included in the annual training programme and occurred in May 2015 and March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9"/>
        <w:gridCol w:w="1280"/>
        <w:gridCol w:w="4545"/>
        <w:gridCol w:w="3522"/>
        <w:gridCol w:w="18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and infections are collected and analysed.  Trends and analysis for infection events are discussed and documented in meeting minutes.  Internal audits and surveys are completed.  Meeting minutes do not document discussion around other quality data.  Corrective action forms/quality improvement forms are completed for any areas of improvement resulting from internal audits but these have not been completed/signed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Meetings minutes do not evidence discussion around incidents/accidents, infection events, internal audit outcomes and survey results.  (ii) Internal audits had been completed with corrective action/quality improvement forms raised for areas of improvement.  However, corrective actions had not been followed up and signed off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discussions at meetings around quality data and analysis are documented in meeting minutes.  (ii) Ensure corrective actions are followed up and signed off as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accidents/incidents have been reported and the cause investigated as applicable.  Corrective actions where identified have been documented on the accident/incident form but have not always been followed up and signed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nine accident/incident forms reviewed had not been fully completed to evidence documented corrective actions signed off as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identified are signed off as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blister pack system.  All medication packs have large photo identification.  Medications are checked on arrival and any pharmacy errors are recorded and fed back to the supplying pharmacy.  Medications are stored safely.  There were no expired medications on the day of audit. There was no record of fridge temperatures taken and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were not being recorded for the medication fridge as per the MOH medication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fridge temperatures are taken and recorded regularly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(three rest homes and three dementia).  All six long-term care plans identified that the registered nurse has undertaken an initial assessment and had developed comprehensive long-term care plans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confirmed on interview that they are involved in the care planning process and review.  Three of six long-term care plans had been evaluated six monthly or more often as needed.  Two residents (one rest home and one dementia) had not been at the service six months and one care plan (dementia care) had not been evaluated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One long-term care plan (dementia care) has not been evaluated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2) One short-term care plan (rest home) that has been evaluated does not have the ongoing problem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3) Activities plans (three rest home and three dementia care) have not been evaluated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long-term care plans are evaluated six monthly.</w:t>
            </w:r>
          </w:p>
          <w:p w:rsidR="00EB7645" w:rsidRPr="00BE00C7" w:rsidP="00BE00C7">
            <w:pPr>
              <w:pStyle w:val="OutcomeDescription"/>
              <w:spacing w:before="120" w:after="120"/>
              <w:rPr>
                <w:rFonts w:cs="Arial"/>
                <w:b w:val="0"/>
                <w:lang w:eastAsia="en-NZ"/>
              </w:rPr>
            </w:pPr>
            <w:r w:rsidRPr="00BE00C7">
              <w:rPr>
                <w:rFonts w:cs="Arial"/>
                <w:b w:val="0"/>
                <w:lang w:eastAsia="en-NZ"/>
              </w:rPr>
              <w:t>Ensure ongoing problems from short-term care plans are transferred to long-term care plans.</w:t>
            </w:r>
          </w:p>
          <w:p w:rsidR="00EB7645" w:rsidRPr="00BE00C7" w:rsidP="00BE00C7">
            <w:pPr>
              <w:pStyle w:val="OutcomeDescription"/>
              <w:spacing w:before="120" w:after="120"/>
              <w:rPr>
                <w:rFonts w:cs="Arial"/>
                <w:b w:val="0"/>
                <w:lang w:eastAsia="en-NZ"/>
              </w:rPr>
            </w:pPr>
            <w:r w:rsidRPr="00BE00C7">
              <w:rPr>
                <w:rFonts w:cs="Arial"/>
                <w:b w:val="0"/>
                <w:lang w:eastAsia="en-NZ"/>
              </w:rPr>
              <w:t>Ensure activities plans are evaluated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Agape Care Limited - Milton Court Rest Home</w:t>
    </w:r>
    <w:bookmarkEnd w:id="58"/>
    <w:r>
      <w:rPr>
        <w:rFonts w:cs="Arial"/>
        <w:sz w:val="16"/>
        <w:szCs w:val="20"/>
      </w:rPr>
      <w:tab/>
      <w:t xml:space="preserve">Date of Audit: </w:t>
    </w:r>
    <w:bookmarkStart w:id="59" w:name="AuditStartDate1"/>
    <w:r>
      <w:rPr>
        <w:rFonts w:cs="Arial"/>
        <w:sz w:val="16"/>
        <w:szCs w:val="20"/>
      </w:rPr>
      <w:t>13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