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Thorrington Village Limited - Thorrington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Thorrington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Thorrington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March 2016</w:t>
      </w:r>
      <w:bookmarkEnd w:id="7"/>
      <w:r w:rsidRPr="009418D4">
        <w:rPr>
          <w:rFonts w:cs="Arial"/>
        </w:rPr>
        <w:tab/>
        <w:t xml:space="preserve">End date: </w:t>
      </w:r>
      <w:bookmarkStart w:id="8" w:name="AuditEndDate"/>
      <w:r w:rsidR="00A4268A">
        <w:rPr>
          <w:rFonts w:cs="Arial"/>
        </w:rPr>
        <w:t>30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Thorrington Village is owned by Archer Group.  The service provides cares for up to 45 (30 rest home and 15 dementia) residents requiring rest home or dementia level care and up to a further 13 residents requiring rest home level care in studios.  On the day of the audit there were 42 residents including those in the studios.  The service is being overseen by a site manager who has experience in managing social services and is supported by a clinical manager, a general manager for the group and a quality assurance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This audit has identified areas for improvement around notifying families of incidents, follow up of incidents, documentation of registered nurse input and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at Thorrington Village strives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Thorrington Village has a current strategic plan and a quality assurance and risk management programme that outlines objectives for the next year.  The quality process being implemented includes regularly reviewed policies, an internal audit programme and a health and safety programme that includes hazard management.</w:t>
      </w:r>
    </w:p>
    <w:p w:rsidRPr="00A4268A">
      <w:pPr>
        <w:spacing w:before="240" w:line="276" w:lineRule="auto"/>
        <w:rPr>
          <w:rFonts w:eastAsia="Calibri"/>
        </w:rPr>
      </w:pPr>
      <w:r w:rsidRPr="00A4268A">
        <w:rPr>
          <w:rFonts w:eastAsia="Calibri"/>
        </w:rPr>
        <w:t>Aspects of quality information are reported to monthly quality meetings.  Residents and relatives are provided the opportunity to feedback on service delivery issues at regular resident meetings and via satisfaction surveys.  There is a reporting process being used to record and manage resident incidents.  Incidents are collated monthly and reported to quality meetings.  Thorrington Village has job descriptions for all positions that include the role and responsibilities of the position.  There is an annual in-service training programme and staff are supported to undertake external training.  The service has a documented rationale for determining staffing.  Healthcare assistants, residents and family members report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 file.  There is a three monthly general practitioner review.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advised satisfaction with the activities programme.  </w:t>
      </w:r>
    </w:p>
    <w:p w:rsidRPr="00A4268A" w:rsidP="00621629">
      <w:pPr>
        <w:spacing w:before="240" w:line="276" w:lineRule="auto"/>
        <w:rPr>
          <w:rFonts w:eastAsia="Calibri"/>
        </w:rPr>
      </w:pPr>
      <w:r w:rsidRPr="00A4268A">
        <w:rPr>
          <w:rFonts w:eastAsia="Calibri"/>
        </w:rPr>
        <w:t xml:space="preserve">There is a secure electronic medication system at the facility.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 memory support unit is secure and provides a safe homelike environment for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key staff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the provision of a non-restraint environment.  There is a documented definition of restraint and enablers that aligns with the definition in the standards.  There is a restraint register and a register for enablers.  There are currently no residents requiring restraints and no residents using enablers.  Staff are trained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6"/>
        <w:gridCol w:w="1280"/>
        <w:gridCol w:w="100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(four caregivers - one from the rest home, one from the dementia unit and two who work across both, the clinical manager and the activities coordinator) confirmed their familiarity with the Code.  Interviews with seven rest home level residents (including two who reside in studios) and two relatives (one from the dementia unit and one from the rest home) confirmed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detailed informed consent policy is implemented.  Systems are in place to ensure residents and where appropriate their family/whānau, are provided with appropriate information to make informed choices and informed decisions.  The caregivers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multipurpose informed consent form is utilised by the service provider and is retained in each individual resident’s record reviewed.  Additional forms, for example, wound photographs, procedures and annual influenza vaccinations are in the records randomly selected and reviewed.  Forms are signed and dated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agreements were signed and dated by the provider and the resident and/or representative.  The clinical manager ensured these were all signed and filed in the residents individual records which are stored in a locked filing cabinet at reception.</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understood the obligations and legislative requirement to ensure competency of residents as required for advance directives and advance care planning.  Resident reviews were undertaken six monthly.  Reviews of the individual resident’s health status was documented and retained in each personal file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access to advocacy services.  Staff receives training on advocacy.  Information about accessing advocacy services information is available in the entrance foyers.  This includes advocacy contact details.  The information pack provided to residents at the time of entry to the service provides residents and family/whānau with advocacy information.  Advocate support is available if requested and the chaplain provides advocacy where appropriate.  Interviews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and relatives interviewed  confirmed this and that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and relatives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There have been seven complaints since the service was purchased nine months before the audit.  All complaints since the previous audit were reviewed.  Verbal and written complaints are documented.  All complaints reviewed have noted investigation, timelines, corrective actions when required and resolutions.  Results are fed back to complainants.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foyers of the facility.  The service is able to provide information in different languages and/or in large print if requested.  Information is also given to next of kin or EPOA to read with the resident and discuss.  On entry to the service, the clinical manager discusses the information pack with the resident and their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Church services are conducted in the facility every week.  All residents and relatives interviewed indicated that resident’s spiritual needs are being met when required.  There is a chaplain employed 20 hours per week to ensure resident’s spiritual needs are met.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familiar with the policies and appropriate practices around the prevention and identification of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includes cultural safety.  The service is able to access Māori advisors as identified in the Māori health plan and policies.  There were no residents identifying as Maori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clinical manager and site manager supervise staff to ensure professional practice is maintained in the service.  The abuse and neglect process covers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to meet the needs of residents requiring rest home and dementia level of care.  Staffing policies include pre-employment and the requirement to attend orientation and ongoing in-service training.  The resident satisfaction survey reflects satisfaction with the services that are provided.  Residents and relatives interviewed spoke very positively about the care and support provided.  Staff interviewed had a sound understanding of principles of aged care and state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This ensures full and frank open disclosure occurs.  Ten incidents/accidents forms were viewed.  The form includes a section to record family notification.  Not all forms indicated family were informed or if family did not wish to be informed.  Relatives interviewed reported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Thorrington Village is owned by Archer Group who own one other care facility and another village.  The service provides dementia and rest home level care for up to 45 residents and rest home level care for up to a further 13 residents in studios under license to occupy arrangements.  On the day of the audit there were 42 residents including 11 residents in the dementia unit (named memory support unit) and 31 rest home residents (including five residing in studios and two on respite care, one on a long term chronic conditions contract and one on a young person with disabilities contract).  Five of the rest home level residents reside in studio apartments in one wing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 manager has been at the service since it was purchased nine months before the audit and has business management and pastoral care experience.  The clinical manager has been at the service for six weeks, having previously held leadership positions in a variety of nursing settings.  Additionally the management includes a quality assurance manager and the Archer general manager.  The Archer facilities are overseen by a board of directors and the organisation is a charitable trust.  Archer has a strategic plan and Thorrington has a quality and risk management programme in place for the current year.  The organisation has a philosophy of care which includes a mission statement.  The site manager has completed in excess of eight hours of professional development since commencing employment.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site manager, the clinical manager is in charge with support from the Archer management team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Thorrington Village.  There is evidence that the quality system is implemented at the service.  Interviews with staff confirmed that quality data is discussed at monthly quality meetings for which all staff are provided with minutes and at the 9.15 am briefing five days each week.  All quality data is comprehensively covered in the monthly quality meeting.  The quality assurance manager supports the site manager in providing oversight of the quality programme.  The quality and risk management programme is designed to monitor contractual and standards compliance.  The service's policies have been reviewed regularly and updated to include interRAI requirements.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in both the rest home and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Incidents and infections are benchmarked against similar facilities and corrective action plans are developed when benchmarking results indicate a possibility for improvement.  The service has a health and safety management system.  There are implemented risk management and health and safety policies and procedures in place including accident and hazard management.  Falls prevention strategies are implemented for individual residents and staff receives training to support falls prevention.  Residents are surveyed to gather feedback on the service provided and the outcomes are communicated to residents, staff and families.  Corrective action plans were developed for lower rating areas in the January 2016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reported by caregivers, the clinical manager and residents, as investigated by the clinical manager.  Short-term care plans support this.  The follow up of incidents by the clinical manager is not well documented (link 1.3.3.4) and forms do not document causative factors and opportunities to minimise recurrence.  Comprehensive analysis of incident trends occurs.  There is a discussion of incidents/accidents at monthly quality meetings including actions to address trends identified.  Discussions with the site manager and clinical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 that the recruitment and staff selection process requires that relevant checks are completed to validate the individual’s qualifications, experience and veracity.  A copy of practising certificates is kept.  Eight staff files were reviewed (the clinical manager, an enrolled nurse the social events coordinator, the cook and four caregivers) and these evidenced that reference checks are completed before employment is offered.  The service has a comprehensive orientation programme in place that provides new staff with relevant information for safe work practice.  The in-service education programme for 2015 has been completed and the 2016 programme is being implemented.  There are 18 caregivers who work routinely in the dementia unit and 10 have completed the dementia standards.  The remaining eight are enrolled in the programme and have not been employed for one year.  The clinical manager is able to attend external training including sessions provided by the local DHB.  The clinical manager (recently employed) is enrolled to undertake interRAI training.  Until this occurs, an interRAI trained registered nurse is contracted to undertake interRAI assessments.  All employees have been employed by the service for less than one year (the new owners took over nine months ago) so annual performance appraisals were not yet due.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include staff rationale and skill mix.  Sufficient staff is rostered on to manage the care requirements of the residents.  The clinical manager works 40 hours per week, Monday to Friday and is on call at other times.  The service is in the process of employing a second registered nurse to work 16 hours per week.  Registered nursing support is provided for interRAI assessments by a contracted registered nurse and support can be provided by the other Archer Village service if required.  An enrolled nurse is also employed full time.  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healthcare assistant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entry to the service policy includes requirements and procedures to be followed when a resident is admitted to the service.  Admission agreements were signed in all resident’s sampled records.  Admission agreements reflect all the contractual requirements.  Residents and families reported that the admission agreements were discussed with them in detail by the clinical manager or general manager.  All residents had the appropriate needs assessments prior to admission to the service.  A pamphlet containing information about the service was sighted.  The clinical manager ensures that residents are admitted to the service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from the district health board is utilised when residents are required to be transferred to the public hospital or to another service.  The yellow envelope is utilised with the transfer notification form.  The clinical manager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medicine management system is implemented to ensure that the residents receive medicines in a safe and timely manner.  All prescribed medications were reviewed by the GP in a timely manner.  Medicine reconciliation is conducted by the clinical manager when a resident is discharged back to the service.</w:t>
            </w:r>
          </w:p>
          <w:p w:rsidR="00EB7645" w:rsidRPr="00BE00C7" w:rsidP="00BE00C7">
            <w:pPr>
              <w:pStyle w:val="OutcomeDescription"/>
              <w:spacing w:before="120" w:after="120"/>
              <w:rPr>
                <w:rFonts w:cs="Arial"/>
                <w:b w:val="0"/>
                <w:lang w:eastAsia="en-NZ"/>
              </w:rPr>
            </w:pPr>
            <w:r w:rsidRPr="00BE00C7">
              <w:rPr>
                <w:rFonts w:cs="Arial"/>
                <w:b w:val="0"/>
                <w:lang w:eastAsia="en-NZ"/>
              </w:rPr>
              <w:t>Medication rounds observed in both areas identified that staff administering medications complied with the medication administration policies and procedures.  Current medication competencies were evidenced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in place for the management of controlled drugs meets the required regulations and guidelines.  The controlled drugs register was correct and a weekly stock-take is conducted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were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medications.  The self-administration policies and procedures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All meals are prepared and cooked on-site by the catering manager and second cook.  There was evidence of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clinical manager completes the dietary requirement forms on admission and provides a copy to the kitchen.  The kitchen board is updated regularly.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were monitored and recorded daily.  Cooked meals are plated from the kitchen to the rest home and memory support unit.  The meals were well-presented and residents confirmed that they are provided with alternative meals as per request.  All residents are weighed regularly.  Residents with weight loss problems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decline of entry to the service.  When a resident’s entry to the service is declined, the resident is referred back to the referrer to ensure that the resident is admitted to the appropriate level of care provider.  The clinical manager reported that the district health board needs assessors and social workers contact the clinical manager to discuss the suitability of the resident prior to sending the resident’s family to view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(RN) utilises standardised risk assessment tools on admission and this assessment information is the basis in developing the resident’s initial and long-term care plans in resident files sampled.  New residents are admitted using the interRAI assessment tool and the outcome scores were used as the focus of their long-term care plans in files sampled.  There was evidence that new residents are assessed within the required timeframes.  Two resident’s (dementia unit) re-assessments had been completed using the interRAI tool.  Others in files sampled contained paper based risk assessment reviews as interRAI assessments were not contractually required.  Cultural, sexuality and intimacy needs have been identified for the residents.  There was an initial assessment completed for the resident on respite care to assess the risks and health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sampled were resident-focused and personalised.  There was evidence that continuity of service delivery is promoted.  Goals are specific and measurable.  Long-term care plans sampled were reviewed and updated in a timely manner.  Short-term care plans are developed and were evident in the sampled files.  Interventions were sufficiently detailed to address the desired outcome/goal; the resident on respite care had no interventions recorded as part of the initial care plan process for the identified needs (link 1.3.6.1).  Residents and families confirmed they are involved in the development of long-term care plans.  Staff members reported they are informed about changes in the care plans.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documentation was comprehensive with the exception of one file.  The interventions in managing acute health issues (including wounds) were documented in short-term care plans.  Interventions are updated when the desired goals/outcomes are not met or when the resident’s response to the treatment is not satisfactory.  Family members interviewed expressed satisfaction with the clinical care and that they are involved in the care planning of their family member.  Healthcare assistants and the clinical manager interviewed state there is adequate equipment provided including continence and wound care supplies.  There were three skin tears and one minor wound recorded in the wound register.  Wound assessment forms and an ongoing assessment and treatment forms were not completed consistently for all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and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appropriate to the needs, age and culture of the residents.  The activities are physically and mentally stimulating.  The social events coordinator has adequate training for the role and develops the annual activity plans with the residents when able.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are posted in the rest home and memory support lounges.  The social events coordinator divides his time between the two units.  Weekend activities are supported by caregivers.  The activity plans sampled were well-documented and reflected the resident’s preferred activities and interests.  The resident’s activities participation log was sighted.  Interviewed residents and families verbalised the activities provided by the service are adequate and enjoyable.  On the day of audit, residents were observed being actively involved in activities.  A 24-hour activity plan is in place for all residents in the dementia unit and reflected de-escalating techniques when behaviour becomes challenging.  Individual activity plans were reviewed six monthly in files sampled.  The two younger residents’ activities plans were reflective of their needs and in maintaining community links.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were reviewed and evaluated every six months or earlier as required in files sampled.  The interventions in both long-term and short-term care plans were modified when the outcomes are different from expected.  Recent reassessments have been completed using the interRAI tool.  The interviewed residents and family members reported they were involved in all aspects of care and reviews/evaluations of the care plans.  The family are notified of GP visits and three monthly reviews by phone call and if unable to attend, they are informed of all the changes.  There is at least a three monthly medical review by the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There is evidence of referrals by the GP to other specialist services.  The residents and the families are kept informed of the referrals made by the service.  Internal referrals are facilitated by the clinical manager.  One resident was assessed for a higher level of care and was awaiting transfer to an appropriate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Storage areas both inside and outside were locked.  Chemicals were clearly labelled and safety material data sheets were available and accessible in all service areas.  The hazard register is current.  Staff interviewed confirmed they can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Review of staff training records and interviews with healthcare assistants, laundry and cleaning staff confirmed that regular training and education on the safe and appropriate handling of chemical and waste and hazardous substances occurs.  The chemical supply company visits each month to check that supplies are adequate and that staff are managing chemicals safely and efficiently.  Audits are performed as part of the internal audit programme as evidenced on the audit schedule reviewed.</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staff member interviewed has a good knowledge of the responsibilities associated with this role in the organisation.  Waste management systems meet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Handrails are installed in corridors, showers and toilets to promote safe mobilisation.  The physical environment minimises the risk of falls and promotes safe mobility by ensuring the flooring is appropriate and secure, bathroom floors are non-slip and walking areas are not cluttered.</w:t>
            </w:r>
          </w:p>
          <w:p w:rsidR="00EB7645" w:rsidRPr="00BE00C7" w:rsidP="00BE00C7">
            <w:pPr>
              <w:pStyle w:val="OutcomeDescription"/>
              <w:spacing w:before="120" w:after="120"/>
              <w:rPr>
                <w:rFonts w:cs="Arial"/>
                <w:b w:val="0"/>
                <w:lang w:eastAsia="en-NZ"/>
              </w:rPr>
            </w:pPr>
            <w:r w:rsidRPr="00BE00C7">
              <w:rPr>
                <w:rFonts w:cs="Arial"/>
                <w:b w:val="0"/>
                <w:lang w:eastAsia="en-NZ"/>
              </w:rPr>
              <w:t>The room sizes are adequate and the lounge and dining area is small but functional and comfortable for the residents.  An appropriate outside area is observed with an external pathway in and out of the unit.</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and external contractors.  Electrical safety test tag system shows this has occurred.  Clinical equipment is tested and calibrated by an approved provider at least annually or when required.  The facility is being maintained in good repair.  All maintenance records were reviewed and are clearly documented.  The current building warrant offFitness expires July 2016.</w:t>
            </w:r>
          </w:p>
          <w:p w:rsidR="00EB7645" w:rsidRPr="00BE00C7" w:rsidP="00BE00C7">
            <w:pPr>
              <w:pStyle w:val="OutcomeDescription"/>
              <w:spacing w:before="120" w:after="120"/>
              <w:rPr>
                <w:rFonts w:cs="Arial"/>
                <w:b w:val="0"/>
                <w:lang w:eastAsia="en-NZ"/>
              </w:rPr>
            </w:pPr>
            <w:r w:rsidRPr="00BE00C7">
              <w:rPr>
                <w:rFonts w:cs="Arial"/>
                <w:b w:val="0"/>
                <w:lang w:eastAsia="en-NZ"/>
              </w:rPr>
              <w:t>All external areas inspected were safe, secure and contain appropriate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of toilets and bathrooms for the number of residents in the rest home and in the separate dementia unit.  Privacy is maximised in both care settings.  All bathrooms and toilets are maintained to a good standard, are disability accessible with easy to clean walls and floors.  The hot water temperatures are monitored monthly.  Review of the records reveals temperatures are all below 45 degrees Celsius and whenever it was out of range, corrective actions have been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space in the bedrooms for the safe manoeuvring of mobility equipment.  There is adequate space in both care settings.  Residents can personalise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dementia unit (named memory support unit) has a lounge/dining area which is suitable for the residents and the care setting.  There is adequate room for facilitating activities.  Appropriate comfortable seating is provided and a quiet room is available for use.  The rest home has one bigger lounge with adequate seating.  The main lounge in the rest home is large and is used for functions, activities and opens to the outside garden area.  Dining rooms and lounges are within easy walking distances to bedrooms.  Residents interviewed confirmed they use their rooms or external areas if they want privacy or quiet time.  All furniture is safe and suitable for the resident groups in each care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sufficient number of cleaning and laundry staff is allocated seven days a week to carry out these services.  The service conducts regular reviews and internal audits of cleaning and laundry services to ensure these are safe and effective.  Where improvements can be made these are implemented.  Current safety material data sheets about each product are located with the chemicals in each area of service.  The chemicals are stored appropriately in locked cabinets at all times.  The cleaner’s trolley is stored in a locked room when not in use.  The chemical mixes are prepared from a wall mounted system which works effectively for both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emergency management plan complies with all applicable statutory requirements.  It continues to be reviewed and improved as necessary.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approved evacuation plan.  The last fire evacuation drill was held March 2016.  The trial evacuation report letter was sighted.  Staff attendance is recorded in the training records.  Civil defence equipment and resources are available and this was discussed with the maintenance person responsible.  A gas barbecue is also available.  The facility has back-up lighting, power and sufficient food, water and personal supplies to provide for its maximum number of residents in the event of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 emergency plans and security systems meet regulation requirements.  The staff are responsible for checking the facility for security purposes on the afternoon and night shifts.  The dementia unit is key pad accessed by staff and family.  The police would be summoned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nurse call system is appropriate for the size of the facility and call bells are accessible in the rooms, lounge and dining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and dementia unit have adequate heating.  The maintenance person interviewed ensures the heating systems are running smoothly and that appropriate checks are performed.</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doors and external opening windows for ventilation .All bedrooms have good sized external opening windows which are designed and installed to promote ventilation and to be secured as needed.  In the rest home the main lounge doors open out to a garden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interviewed confirmed the internal temperatures and ventilation are comfortable during the summer and winter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Thorrington Village has an established infection control programme.  The infection control programme, its content and detail, is appropriate for the size, complexity and degree of risk associated with the service.  It is linked into the quality management system.  The clinical manager is the designated infection control coordinator with support from all staff and the quality management team as the infection control team.  Quality meeting minutes are available for staff.  Infection control audits have been conducted and include hand hygiene and infection control practices.  Education is provided for all new staff on orientation.  The infection control programme has not yet been reviewed annually as the service has not yet been operating the facility for one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at Thorrington Village is the designated infection control (IC) coordinator.  There are adequate resources to implement the infection control programme for the size and complexity of the organisation.  The IC coordinator and IC team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overarching infection control programme policy that links to Bug Control infection prevention and control policies, which are available at the service.  These infection control policies and procedures are appropriate for the size and complexity of the service.  The Bug Control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provided by an external infection control specialist.  The infection control coordinator has completed online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and is benchmarked with similar facilities.  Short-term care plans are used.  Surveillance of all infections is entered on to a monthly infection summary.  This data is monitored and evaluated monthly and compared month by month.  Outcomes and actions are discussed at quality meetings and daily staff briefings and results posted for staff to view.  If there is an emergent issue, it is acted upon in a timely manner.  Reports are easily accessible to the site manager.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minimized and provides a restraint-free environment.  There were no residents with restraint and no residents with an enabler.  Enabler use is voluntary.  Staff interviews and staff records evidence guidance has been given on restraint minimisation and safe practice (RMSP) and prevention and/or de-escalation techniques.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00"/>
        <w:gridCol w:w="1280"/>
        <w:gridCol w:w="6973"/>
        <w:gridCol w:w="2360"/>
        <w:gridCol w:w="17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procedures where all incidents are reviewed by the clinical manager and either the staff reporting the incident or the clinical manager are delegated the responsibility to inform the family.  Families interviewed believed they are well informed.  Two of the ten incident forms sampled documented that family were informed, either on the form or in the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of family having been informed for eight of ten incident forms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family are informed of all incidents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incidents are reported by the staff member who identifies the incident on an incident form.  Incident forms are provided for the clinical manager to review.  All incident forms sighted had been signed by the clinical manager but documented evidence of follow up of incidents is lacking.  Interviews and short-term care plans indicate that follow up occurs and this is a documentation issue (link 1.3.3.4).  Incident trends are discussed at quality meetings and opportunities to remedy unwanted trends are discussed.  However not all incident forms documented analysis of cause or identified opportunities to minimise recurrence.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ten incident forms sampled did not document the causative factor or identify opportunities to prevent recurrence.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incidents identify the causative factor and opportunities to prevent recurrence and that this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Verbal handover between shifts is comprehensive.  Healthcare assistants interviewed stated they are well informed of any changes in a resident’s health care status.  In addition to handovers, when each shift starts there is a briefing meeting with the site manager and clinical manager at 9.15 each weekday morning.  The clinical manager is on call for clinical issues that needs attention after-hours and on weekends.  Progress notes are recorded daily by healthcare assistants and are comprehensive; however the registered nurse does not enter consistently in the progress notes.  There is also a lack of registered nurse/clinical follow up evident in the progress notes following adverse events, for example, after a fall and introducing a wound treatment regime.  Interviews and supporting documentation (for example care plan updates and short-term care plans) provide evidence that this is a documentation issue, not a practice issue.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Four (two rest home residents and two residents in the dementia unit) of the seven files show the registered nurses do not enter consistently in the progress notes; and ii) the registered nurses do not consistently follow up after adverse events in eight of ten incident forms sampled, for example, skin tears and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registered nurse documents clinical input and follow up in the progress notes.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the six files care plan documentation was comprehensively documented.  The respite care resident (rest home) has admission documentation and an initial assessment; however, the initial care plan documentation had no recorded interventions to manage the needs of the resident.  Four wounds were recorded in the wound register.  Two of the current wounds management documentation includes a wound assessment, wound management plan, evaluation and short-term care plan linked to the wound management plan.  Both of these two wounds evidenced wound management was completed within the stated frequency.  The other two current wounds managed had only a short-term care plan but no wound assessment documentation, dressing frequency etc.</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were insufficient interventions recorded to manage the needs of the resident on respite care and ;ii) Two of the four current wounds have no wound assessment , plan or review documentation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the care plan interventions reflect the support needed to manage the health needs of all residents including those on respite care ;and  ii) Ensure that a wound assessment, plan and reviews are completed for all wounds.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Thorrington Village Limited - Thorrington Village</w:t>
    </w:r>
    <w:bookmarkEnd w:id="58"/>
    <w:r>
      <w:rPr>
        <w:rFonts w:cs="Arial"/>
        <w:sz w:val="16"/>
        <w:szCs w:val="20"/>
      </w:rPr>
      <w:tab/>
      <w:t xml:space="preserve">Date of Audit: </w:t>
    </w:r>
    <w:bookmarkStart w:id="59" w:name="AuditStartDate1"/>
    <w:r>
      <w:rPr>
        <w:rFonts w:cs="Arial"/>
        <w:sz w:val="16"/>
        <w:szCs w:val="20"/>
      </w:rPr>
      <w:t>29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