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Selwyn Heights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Selwyn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Selwyn Heights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April 2016</w:t>
      </w:r>
      <w:bookmarkEnd w:id="7"/>
      <w:r w:rsidRPr="009418D4">
        <w:rPr>
          <w:rFonts w:cs="Arial"/>
        </w:rPr>
        <w:tab/>
        <w:t xml:space="preserve">End date: </w:t>
      </w:r>
      <w:bookmarkStart w:id="8" w:name="AuditEndDate"/>
      <w:r w:rsidR="00A4268A">
        <w:rPr>
          <w:rFonts w:cs="Arial"/>
        </w:rPr>
        <w:t>5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Selwyn Heights is owned and operated by the Selwyn Foundation and cares for up to 96 residents requiring rest home or hospital level care.  On the day of the audit there were 66 residents.  Twelve hospital rooms were closed for refurbishment at the time of the audit.  All residents were under the Age Related Care Contract.  The hospital and rest home buildings are adjoining.</w:t>
      </w:r>
    </w:p>
    <w:p w:rsidRPr="00A4268A">
      <w:pPr>
        <w:spacing w:before="240" w:line="276" w:lineRule="auto"/>
        <w:rPr>
          <w:rFonts w:eastAsia="Calibri"/>
        </w:rPr>
      </w:pPr>
      <w:r w:rsidRPr="00A4268A">
        <w:rPr>
          <w:rFonts w:eastAsia="Calibri"/>
        </w:rPr>
        <w:t>The service is managed by a village manager, who has both management and aged care experience.  The care centre is over seen by the care lead, who is a registered nurse with experience in aged care.  She is supported by an assistant village manager, a senior registered nurse and the group residential care manager.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service has exceeded the standard around weight management, infection control and activities.</w:t>
      </w:r>
    </w:p>
    <w:p w:rsidRPr="00A4268A">
      <w:pPr>
        <w:spacing w:before="240" w:line="276" w:lineRule="auto"/>
        <w:rPr>
          <w:rFonts w:eastAsia="Calibri"/>
        </w:rPr>
      </w:pPr>
      <w:r w:rsidRPr="00A4268A">
        <w:rPr>
          <w:rFonts w:eastAsia="Calibri"/>
        </w:rPr>
        <w:t>This audit has identified areas for improvement around the preventative maintenance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receives ongoing training about the Code.  </w:t>
      </w:r>
    </w:p>
    <w:p w:rsidRPr="00A4268A">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An assistant village manager  and care lead are responsible for the day-to-day operations.  Goals are documented for the service with evidence of regular reviews.  A quality and risk management programme is embedded.  Data is collected, analysed, discussed and changes made as a result of trend analysis.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 baseline assessment is completed upon admission and an interRAI assessment within three weeks.  Lifestyle support plans are developed by the service’s registered nurses, who also have the responsibility for maintaining and reviewing the support plans.  </w:t>
      </w:r>
    </w:p>
    <w:p w:rsidRPr="00A4268A" w:rsidP="00621629">
      <w:pPr>
        <w:spacing w:before="240" w:line="276" w:lineRule="auto"/>
        <w:rPr>
          <w:rFonts w:eastAsia="Calibri"/>
        </w:rPr>
      </w:pPr>
      <w:r w:rsidRPr="00A4268A">
        <w:rPr>
          <w:rFonts w:eastAsia="Calibri"/>
        </w:rPr>
        <w:t xml:space="preserve">InterRAI assessment tools and monitoring forms are used to assess the level of risk and ongoing support required for residents.  Lifestyle support plans are evaluated six monthly or more frequently when clinically indicated.  The service facilitates access to other medical and non-medical services.  Referral documentation is maintained on resident files.  </w:t>
      </w:r>
    </w:p>
    <w:p w:rsidRPr="00A4268A" w:rsidP="00621629">
      <w:pPr>
        <w:spacing w:before="240" w:line="276" w:lineRule="auto"/>
        <w:rPr>
          <w:rFonts w:eastAsia="Calibri"/>
        </w:rPr>
      </w:pPr>
      <w:r w:rsidRPr="00A4268A">
        <w:rPr>
          <w:rFonts w:eastAsia="Calibri"/>
        </w:rPr>
        <w:t xml:space="preserve">The activity programme is varied and reflects the interests of the residents including community interactions.  </w:t>
      </w:r>
    </w:p>
    <w:p w:rsidRPr="00A4268A" w:rsidP="00621629">
      <w:pPr>
        <w:spacing w:before="240" w:line="276" w:lineRule="auto"/>
        <w:rPr>
          <w:rFonts w:eastAsia="Calibri"/>
        </w:rPr>
      </w:pPr>
      <w:r w:rsidRPr="00A4268A">
        <w:rPr>
          <w:rFonts w:eastAsia="Calibri"/>
        </w:rPr>
        <w:t xml:space="preserve">There are medication management policies that are comprehensive and direct staff in terms of their responsibilities in each stage of medication management.  Competencies are completed.  Medication profiles are up to date and reviewed by the general practitioner three monthly or earlier if necessary.  </w:t>
      </w:r>
    </w:p>
    <w:p w:rsidRPr="00A4268A" w:rsidP="00621629">
      <w:pPr>
        <w:spacing w:before="240" w:line="276" w:lineRule="auto"/>
        <w:rPr>
          <w:rFonts w:eastAsia="Calibri"/>
        </w:rPr>
      </w:pPr>
      <w:r w:rsidRPr="00A4268A">
        <w:rPr>
          <w:rFonts w:eastAsia="Calibri"/>
        </w:rPr>
        <w:t xml:space="preserve">The menu is designed and reviewed by a registered dietitian.  Residents' individual needs are identified.  There is a process in place to ensure changes to residents’ dietary needs are communicated to the kitchen.  Regular audits of the kitchen occur.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building warrant of fitness for each of the two buildings.  Reactive maintenance is carried out.  Furniture and fittings are selected with consideration to residents’ abilities and functioning.  Residents can and do bring in their own furnishings for their rooms.  The service has policies and procedures for management of waste and hazardous substances and incidents are reported on in a timely manner.  Staff receives training and education to ensure safe and appropriate handling of waste and hazardous substances.  Documented policies and procedures for the cleaning services are implemented with monitoring systems in place to evaluate the effectiveness of these services.  Laundry is completed off-site.  Policies and procedures are in place for essential, emergency and security services, with adequate supplies should a disaster occur.  There is staff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receives training around restraint minimisation and the management of challenging behaviour.  The service has appropriate procedures and documents for the safe assessment, planning, monitoring and review of restraint and enablers.  A register is maintained by the restraint coordinator.  Ten residents were using restraints and no residents were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5</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25"/>
        <w:gridCol w:w="1280"/>
        <w:gridCol w:w="90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Heights policies and procedures are being implemented that align with the requirements of the Code of Health and Disability Services Consumers’ Rights (the Code).  Families and residents are provided with information on admission which includes information about the Code.  Staff receives training about resident rights at orientation and as part of the annual in-service programme.  Interviews with care staff (seven caregivers - one who works across the rest home and hospital, two from the rest home and four from the hospital), four registered nurses (one from the rest home and three from the hospital), one activities coordinator and two activities assistants) confirmed their understanding of the Code.  Ten residents (seven rest home level, three hospital level) and six relatives (five hospital level, one rest home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nine resident files reviewed included signed informed consent forms and advanced directive instructions.  Staff are aware of advanced directives.  Admission agreements were sighted which were signed by the resident or nominated representative.  Discussion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chaplain is identified by staff and residents as an advocate.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that includes written and verbal complaints, dates and actions taken.  Complaints are being managed in a timely manner meeting requirements determined by the Health and Disability Commissioner (HDC).  There is evidence of lodged complaints being discussed in management and staff meetings.  All complaints received have been documented as resolved with appropriate corrective actions implemented.  This includes one unsubstantiated complaint lodged with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Staff were observed to be respectful of residents’ privacy by knocking on doors prior to entering resident rooms.  Staff could describe definitions around abuse and neglect that aligned with policy.  Residents and relatives interviewed confirmed that staff treats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promotes quality of life and involves residents in decisions about their care.  Resident preferences are identified during the admission and care planning process and include family involvement.  Interviews with residents confirmed their values and beliefs were considered.  Caregivers could describe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policy for the organisation references local Māori healthcare providers regionally within New Zealand and provides recognition of Māori values and beliefs.  Family/whānau involvement is encouraged in assessment and care planning and visiting is encouraged.  Links are established with disability and other community representative groups as requested by the resident/family.  Cultural needs are addressed in the care plan.  Residents who identified as Māori confirmed their cultural needs were being met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meetings include discussions around professional boundaries and concerns as they arise.  Management provided guidelines and examples of mentoring for specific situations.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aligned with current accepted best practice.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in-service training programme is implemented as per the training plan.  Registered nurses are able to attend DHB training and caregivers are provided with a training programme.  The service benchmarks with other Selwyn Foundation services and uses outcomes to improve resident outcomes.  Feedback is provided to staff via the staff/quality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registered nurse on each shift.  Residents and family advised that caregivers are caring and competent.  A number of process improvements have been implemented resulting in improvements to resident wellbeing (link to CI 1.3.13.1, 1.3.7.1 and 3.5.7).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policy to guide staff in their responsibility around open disclosure.  Staff are required to record family notification when entering an incident into the system.  The sample of adverse events reviewed met this requirement.  Family members interviewed confirmed they are notified following a change of health status of their family member.  The service has exceeded the standard around ensuring that all staff are able to communicate effectively with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Heights is a Selwyn Foundation aged care facility located in Auckland.  The facility is certified to provide rest home and hospital (geriatric and medical) level care for up to 96 residents.  Twelve hospital level beds were closed for refurbishment during the audit.  Thirty-six beds are dedicated to rest home level of care and sixty to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66 residents at the time of audit - 24 rest home level and 42 hospital level.  There were no residents on the medical component and all residents were on the Aged 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organisational strategic plan 2013 to 2017 documents organisational goals. These are reflected in the 2016 Selwyn Heights business plan which describes the vision, values and objectives of Selwyn Heights.  Annual goals are linked to the business plan and reflect regular reviews via facility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aged care management and hospitality management experience.  The care home is primarily overseen by the care lead. The care lead is a registered nurse with aged care experience, who has been in the role for three years.  The village manager and care lead are supported by an assistant village manager, a senior registered nurse and the group residential care manager.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care lead have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assistant village manager and senior registered nurse covers during the temporary absence of the care lead.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group residential care manager.  Discussions with the managers (group residential care manager, village manager, assistant village manager, care lead and senior registered nurse), the GP,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monthly.  Minutes are maintained.  Annual resident and relative surveys are completed with results communicated to residents and staff.  Survey results reflect high levels of satisfaction.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service's policies are reviewed at a national level by the clinical governance group with input from facility staff every two years.  Clinical guidelines are in place to assist care staff.  Updates to policies included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This is utilised for service improvements.  Key performance areas are benchmarked against other Selwyn facilities.  Quality improvement plans (QIP’s) are developed when service shortfalls are identified and these are monitored by group office.  Results are communicated to staff at staff/quality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sensor mats, increased monitoring, identification and meeting of individual needs and mattress perimeter guards.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incident/accident forms (a sample from February and March 2016) identified that forms are fully completed and include follow up by a registered nurse.  Neurological observations are completed for any suspected injury to the head.  The senior registered nurse and care lead are involved in the adverse event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residential care manager was able to identify situations that would be reported to statutory authorities including (but not limited to) infectious diseases, serious accidents and unexpected death.  One section 31 notification was being made at the time of the audit regarding an evacuation and fire department callout. This was as a result of an electrical fault that did not result in a fire.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Seven staff files reviewed (the senior registered nurse, one other registered nurse, a cleaner, the cook, the activities coordinator and two caregivers) included a comprehensive recruitment process which included reference checking, signed employment contracts and job descriptions, completed orientation programmes and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nursing staff and other health practitioner practising certificates are maintained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 training plan is implemented using a train the trainer model where key staff are trained to provide education sessions on subjects that cover a number of required trainings.  Aspects of training are provided during full day training sessions. The service has exceeded the required standard around staff training.   Incidental training is provided according to identified need and at staff request.  There is an attendance register for each training session and an individual staff member record of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Five of the seven permanent registered nurses have completed their interRAI training.  There are implemented competencies for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In the hospital there are three registered nurses (over two floors) on morning shift, two on afternoon shift and one on night shift.  A registered nurse works morning shift five days per week in the rest home and out of these hours, the hospital registered nurse covers urgent issues.  A registered nurse from the management team is on call at all times.  Activities are provided five days a week.</w:t>
            </w:r>
          </w:p>
          <w:p w:rsidR="00EB7645" w:rsidRPr="00BE00C7" w:rsidP="00BE00C7">
            <w:pPr>
              <w:pStyle w:val="OutcomeDescription"/>
              <w:spacing w:before="120" w:after="120"/>
              <w:rPr>
                <w:rFonts w:cs="Arial"/>
                <w:b w:val="0"/>
                <w:lang w:eastAsia="en-NZ"/>
              </w:rPr>
            </w:pPr>
            <w:r w:rsidRPr="00BE00C7">
              <w:rPr>
                <w:rFonts w:cs="Arial"/>
                <w:b w:val="0"/>
                <w:lang w:eastAsia="en-NZ"/>
              </w:rPr>
              <w:t>Staff were visible and were attending to call bells in a timely manner as confirmed by all residents interviewed.  Staff interviewed stated that overall the staffing levels are satisfactory and that the managers provide good support.  Residents and family members interviewed report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Entries are legible, dated and signed by the relevant caregiver or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for rest home or hospital level of care.  The service has specific information available for residents/families/whānau at entry and includes associated information such as the Code of Rights, advocacy and the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admission booklet is available to all residents/family/whānau on enquiry or admission.  The information includes examples of how services can be accessed that are not included in the agreement.  Registered nurses interviewed were able to describe the entry and admission process.  The GP is notified of a new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signed admission agreements were sighted.  The admission agreement reviewed aligns with a) – k) of the ARC contract.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transfer/discharge/exit policy and procedures in place.  The procedures include a transfer/discharge form and ‘the yellow envelope’ is used.  The RNs report that they include copies of all the required information in the envelope.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in place and implemented.  They follow recognised standards and guidelines for safe medicine management practice.  There were four medication storage areas.  All areas and fridge temperatures met requirements.  Unwanted or expired medications are collected by the pharmacy weekly.  Medicines (robotic rolls) are delivered weekly by the pharmacy and checked by an RN on-site.  An RN does a weekly check for expired medication.  All eye drops were noted to be dated at opening.  No expired medications were noted on any trolleys or medication storage shelves.  A bulk supply of minimal stock medicines was available in the hospital. </w:t>
            </w:r>
          </w:p>
          <w:p w:rsidR="00EB7645" w:rsidRPr="00BE00C7" w:rsidP="00BE00C7">
            <w:pPr>
              <w:pStyle w:val="OutcomeDescription"/>
              <w:spacing w:before="120" w:after="120"/>
              <w:rPr>
                <w:rFonts w:cs="Arial"/>
                <w:b w:val="0"/>
                <w:lang w:eastAsia="en-NZ"/>
              </w:rPr>
            </w:pPr>
            <w:r w:rsidRPr="00BE00C7">
              <w:rPr>
                <w:rFonts w:cs="Arial"/>
                <w:b w:val="0"/>
                <w:lang w:eastAsia="en-NZ"/>
              </w:rPr>
              <w:t>A medication round was observed; the procedure followed by the registered nurse was correct and safe.  The service uses a paper based medication administration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administer medications to hospital residents. Carers complete competency for checking only.  Carers in the rest home have full medicine competency and administer medicines on pm and night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self-medicating policy includes procedures on the safe administration of medicines.  Two residents self-medicating have three monthly competency reviews completed. </w:t>
            </w:r>
          </w:p>
          <w:p w:rsidR="00EB7645" w:rsidRPr="00BE00C7" w:rsidP="00BE00C7">
            <w:pPr>
              <w:pStyle w:val="OutcomeDescription"/>
              <w:spacing w:before="120" w:after="120"/>
              <w:rPr>
                <w:rFonts w:cs="Arial"/>
                <w:b w:val="0"/>
                <w:lang w:eastAsia="en-NZ"/>
              </w:rPr>
            </w:pPr>
            <w:r w:rsidRPr="00BE00C7">
              <w:rPr>
                <w:rFonts w:cs="Arial"/>
                <w:b w:val="0"/>
                <w:lang w:eastAsia="en-NZ"/>
              </w:rPr>
              <w:t>Eighteen individual resident’s medication charts were sighted.  Resident medication charts are identified with photographs and allergies are recorded.  All charts had been correctly signed and all discontinued medications had been signed and dated.  All PRN medications included indication for use.  There was evidence of three monthly GP review.  Pain monitoring charts were attached to seven of the medication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food, fluids and nutritional needs were met.  Residents are provided with a balanced diet which meets their cultural and nutritional requirements.  The food service is contracted to an external provider.  The meals are cooked on-site.  The kitchen also provides meals to the adjoining village.  Food is sent to the individual unit servery’s in bain maries.  Fridge temperatures are recorded for the fridge in each servery. </w:t>
            </w:r>
          </w:p>
          <w:p w:rsidR="00EB7645" w:rsidRPr="00BE00C7" w:rsidP="00BE00C7">
            <w:pPr>
              <w:pStyle w:val="OutcomeDescription"/>
              <w:spacing w:before="120" w:after="120"/>
              <w:rPr>
                <w:rFonts w:cs="Arial"/>
                <w:b w:val="0"/>
                <w:lang w:eastAsia="en-NZ"/>
              </w:rPr>
            </w:pPr>
            <w:r w:rsidRPr="00BE00C7">
              <w:rPr>
                <w:rFonts w:cs="Arial"/>
                <w:b w:val="0"/>
                <w:lang w:eastAsia="en-NZ"/>
              </w:rPr>
              <w:t>The external contractor has a summer and winter menu reviewed by a registered dietitian as per the contract and they also provide dietetic input into the provision of special menus and diets where required.  A dietary assessment is completed on all residents at the time they are admitted.  Residents with weight loss are reviewed and are placed, if appropriate, on the REAP programme – Replenish Energy and Protein food fortification.  Residents with special dietary needs have these needs identified.  Resource information on these diets is available in the kitchen and via the dietitian.</w:t>
              <w:br/>
              <w:t xml:space="preserve">Special equipment is available and on observing mealtimes, it was noted there were sufficient staff to assist residents.  </w:t>
            </w:r>
          </w:p>
          <w:p w:rsidR="00EB7645" w:rsidRPr="00BE00C7" w:rsidP="00BE00C7">
            <w:pPr>
              <w:pStyle w:val="OutcomeDescription"/>
              <w:spacing w:before="120" w:after="120"/>
              <w:rPr>
                <w:rFonts w:cs="Arial"/>
                <w:b w:val="0"/>
                <w:lang w:eastAsia="en-NZ"/>
              </w:rPr>
            </w:pPr>
            <w:r w:rsidRPr="00BE00C7">
              <w:rPr>
                <w:rFonts w:cs="Arial"/>
                <w:b w:val="0"/>
                <w:lang w:eastAsia="en-NZ"/>
              </w:rPr>
              <w:t>A kitchen cleaning schedule was in place and implemented.  Labels and dates on all containers and records of food temperature monitoring were maintained.  The chiller, fridge and freezer temperatures were monitored.  The kitchen was observed to be clean and well organised.  All aspects of food procurement, production, preparation, storage, delivery and disposal complied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exceeded the required standard around the management of residents with weight loss.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to the service is recorded.  Should this occur, the service stated it would be communicated to the resident/family/whānau and the appropriate referrer.  Potential residents would only be declined if there were no beds available or they did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needs, support requirements and preferences were collected and recorded within required timeframes.  The RNs complete a variety of assessment tools on admission along with the interRAI assessment tool.  Assessments reviewed included falls, pressure risk, dietary needs, continence, pain, mobility, cognitive and depression.  All resident files sampled had an interRAI assessment.  The outcomes of these assessments were reflected in all long-term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were evidenced as completed with ongoing monitoring recorded, for residents requiring administration of controlled medication as part of prescribed pain management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were resident focused, integrated and promoted continuity of service delivery.  An initial plan of care was developed on admission while the long-term plans were developed within three weeks of admission.  The facility uses an integrated document system where the GP, nurse practitioner, allied services, the RNs, activities coordinators, physiotherapist and other visiting health providers write their care notes.</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files had sections for the resident’s profile, details, observations, long-term care plans, monitoring and risk assessments.  Interventions sighted were consistent with the assessed needs and best practice.  Goals were realistic, achievable and clearly documented.  The service recorded interventions for the achievement of the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received adequate and appropriate services meeting their assessed needs and desired outcomes.  Interventions were documented for each goal in the long-term care plans.  Interventions from allied health providers were included in the long-term and short-term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and continence products are readily available. Registered nurses interviewed were able to describe access to specialist services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were in place for eight residents with wounds; four skin tears, three chronic ulcers and a grade II pressure injury.  The pressure injury is improving.  All wounds have documented assessments and a treatment plan in place.  All wounds show evidence of healing with the exception of the chronic ulcers.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confirmed that independence was encouraged and choices were offered to residents.  The activity coordinator and two assistants coordinated the programme.  A wide range of activities, addressing the abilities and needs of residents in the hospital and rest home, were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included physical, mental, spiritual and social aspects of life to improve and maintain residents’ wellbeing.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an activity coordinator completes an assessment for each resident and an activity plan is completed.  A record is kept of individual resident’s activities and progress notes are completed monthly.  Reviews are conducted six monthly (or earlier should the residents condition determine) as part of the care plan evaluation/review.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confirmed they enjoyed the variety of activities and were satisfied with the activities programme.  Activities included outings as well as community involvement.  A library bus calls and the service owns a van.  The three activities coordinators have current first aid certificates.  There are volunteers that assist with a variety of activities including van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forum is held monthly where residents and relatives have input.  Minutes are recorded at the forum, quality improvements identified and feedback given.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standard around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have been reviewed six monthly and updated when needs changed.  Clinical reviews were documented in the multidisciplinary review (MDR) records, which included input from the GP, RNs, activities coordinator, physio and resident/family.  Progress notes were completed and reflected response to interventions and treatments.  Changes to care were documented.  Documentation of GP visits were evidence that reviews were occurring at least three monthly.  Short-term care plans were in use for short term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occurs, referral documentation is maintained.  Residents' and/ or their family/whānau are involved as appropriate when referral to another service occurs.  Registered nurses interviewed described the referral process should they require assistance.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and procedures for the safe and appropriate storage and disposal of waste and hazardous substances.  Waste is appropriately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secured in designated locked cupboards.  Chemicals were labelled and safety data sheets were available throughout the facility and accessible to staff.  Safe chemical handling training has been provided.  Personal protective equipment/clothing was sighted in all high risk areas.  Staff were observed wearing protective equipment and demonstrated knowledge of handling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for each of the two buildings.  There is a maintenance work notification book for staff to communicate with maintenance staff about issues and areas that requires attention.  Hot water temperatures are monitored and recorded monthly.  The building is currently undergoing refurbishment and the completed sections are well maintained. However, preventative maintenance has not occurred in a consistently planned manner.  The maintenance person is available on call after-hours.  Electrical equipment is tested and tagged.  All hoists have been checked and serviced and medical equipment has been calibrated and checked.  The facility van is registered and has a current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There are outside courtyard areas with seating, tables and shaded areas that are easily accessible.  Work is continuing on some of the areas.  Pathways, seating and grounds appear well maintained.  All hazards have been identified in the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communal showers and toilets for residents.  Some resident rooms have a full ensuite and some have a toilet and basin.  Resident rooms have hand-washing facilities with soap dispensers and paper towels.  Communal bathroom and toilet facilities have privacy curtains and locks.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of an adequate size to allow care to be provided and for the safe use and manoeuvring of mobility aids.  Transfer of residents can occur between rooms.  Mobility aids can be managed in communal bathrooms.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can be personalised with furnishings, photos and other personal adornments and the service encouraged residents to make the room their own.  </w:t>
            </w:r>
          </w:p>
          <w:p w:rsidR="00EB7645" w:rsidRPr="00BE00C7" w:rsidP="00BE00C7">
            <w:pPr>
              <w:pStyle w:val="OutcomeDescription"/>
              <w:spacing w:before="120" w:after="120"/>
              <w:rPr>
                <w:rFonts w:cs="Arial"/>
                <w:b w:val="0"/>
                <w:lang w:eastAsia="en-NZ"/>
              </w:rPr>
            </w:pPr>
            <w:r w:rsidRPr="00BE00C7">
              <w:rPr>
                <w:rFonts w:cs="Arial"/>
                <w:b w:val="0"/>
                <w:lang w:eastAsia="en-NZ"/>
              </w:rPr>
              <w:t>There was room to store mobility aids such as walking frames in the bedroom safely during the day and night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communal lounge/dining areas and a large activities lounge along with an art room and chapel.  There are smaller seating areas for residents and families around the facility.  Furniture in all areas is arranged to allow residents to freely mobilise.  Activities can occur in many areas including the courtyards.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completed off-site with the exception of rest home personal laundry.  Residents and relatives expressed satisfaction with cleaning and laundry services.  The service has secure cupboards for the storage of cleaning chemicals.  Chemicals are labelled.  Material safety data sheets are displayed.  Cleaning processes are monitored for effectiveness and compliance with the service policies and procedures.  Cleaning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at all times with a first aid certificate.  All registered nurses have current first aid certificates.  Emergency preparedness plans are accessible to staff and includes management of all potential emergency situations.  The service has implemented policies and procedures for civil defence and other emergencies.  The service has civil defence resources and supplies.  There are sufficient first aid and dressing supplies available.  The service has an approved fire evacuation scheme.  Fire evacuation training and drills are conducted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There are alternative cooking facilities and two large tanks storing emergency water.  Call bells were situated in all communal areas, toilets, bathrooms and personal bedrooms.  Residents were sighted to have call bells within reach during the audit.  The service has a visitor’s book at reception for all visitors including contractors to sign in and out.  Access by the public is limited to the main entrance of each building.  Appropriate security systems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Heights has an established infection control programme.  The infection control programme, its content and detail, is appropriate for the size, complexity and degree of risk associated with the service.  It is linked into the incident reporting system and the Selwyn KPI’s.  The senior registered nurse is the designated infection control nurse with support from the care lead.  The quality meeting team is the infection control team.  Minutes are available for staff.  Audits have been conducted and include hand hygiene and infection control practices.  Education is provided for all new staff on orientation.  The Selwyn Foundation infection control programme was last reviewed in September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registered nurse at Selwyn Heights is the designated infection control (IC) nurse.  There are adequate resources to implement the infection control programme for the size and complexity of the organisation.  The IC nurse and IC team (comprising all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Selwyn Foundation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Selwyn clinical governance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has occurred for staff.  The infection control nurse has completed infection control training through the Selwyn infection control coordinators bi-annual meeting/training days.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Selwyn’s infection control manual.  Monthly infection data is collected for all infections based on signs and symptoms of infection.  An individual resident infection form is completed which includes signs and symptoms of infection, treatment, follow up, review and resolution.  Short-term care plans are used.  Surveillance of all infections is entered on to a monthly infection summary.  This data is monitored and evaluated monthly and annually and provided to Selwyn head office for benchmarking.  Infections are part of the key performance indicators.  Outcomes and actions are discussed at quality/staff meetings.  If there is an emergent issue, it is acted upon in a timely manner.  Reports are easily accessible.  There have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standard around the use of surveillance activities to improve outcomes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enablers and ten hospital residents with restraints (seven bedrails and three lap belts).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of the restraint coordinator (a registered nurse)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Three hospital level residents’ files where restraint was in use (lap belt and bed rails) was selected for review.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linked to the residents’ care plans.  Internal restraint audits measure staff compliance in following restraint procedures.  Each episode of restraint is monitored at pre-determined intervals depending on individual risk to that resident.  Monitoring is documented on a specific restraint monitoring form, evidenced in three resident files where restraint was being used.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monthly and restraint use is discussed monthly at both registered nurse and staff/quality meetings.  A review of three resident files identified that evaluations are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the six monthly organisation-wide restraint coordinators meetings, monthly registered nurse meetings and monthly staff/quality meetings.  Meeting minutes include (but are not limited to) a review of the residents using restraints or enablers, updates (if any) to the restraint programme and staff education and training.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48"/>
        <w:gridCol w:w="1280"/>
        <w:gridCol w:w="4949"/>
        <w:gridCol w:w="2405"/>
        <w:gridCol w:w="21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fulltime maintenance person who is supported by a part time maintenance person.  Maintenance staff undertakes reactive maintenance when it is identified.   A reporting system is in place and evidence shows that items identified are addressed.  </w:t>
            </w:r>
          </w:p>
          <w:p w:rsidR="00EB7645" w:rsidRPr="00BE00C7" w:rsidP="00BE00C7">
            <w:pPr>
              <w:pStyle w:val="OutcomeDescription"/>
              <w:spacing w:before="120" w:after="120"/>
              <w:rPr>
                <w:rFonts w:cs="Arial"/>
                <w:b w:val="0"/>
                <w:lang w:eastAsia="en-NZ"/>
              </w:rPr>
            </w:pPr>
            <w:r w:rsidRPr="00BE00C7">
              <w:rPr>
                <w:rFonts w:cs="Arial"/>
                <w:b w:val="0"/>
                <w:lang w:eastAsia="en-NZ"/>
              </w:rPr>
              <w:t>Scheduled and planned maintenance covering all aspects of the facility and equipment is not implemented or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Scheduled and planned preventative maintenance is not routinely undertaken for all aspects of the building and equipment.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 programme of scheduled maintenance is undertaken for all aspects of building and equipment.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138"/>
        <w:gridCol w:w="46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Foundation (including Selwyn Heights) has an ethos of open communication.  They expect that all staff from domestic staff to management will communicate effectively with residents.  This has traditionally been difficult due to the high number of staff for whom English is a second language working at this service.  Specific training has been provided around business communication to address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November 2013 the Selwyn Foundation identified from resident and family feedback that not all staff were able to communicate information in a way the residents and families deemed of a high standard.  They identified that low numeracy and literacy levels among staff were contributing to this and developed a strategy to improve numeracy and literacy skills for staff, to enhance their work communication skills and also to enhance the lives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 2014 a pilot ‘business communications’ course was run (the course is a two-hour class over 20 weeks) and following the pilot, the programme was adopted with two programmes running during 2015.  A total of 18 Selwyn Heights staff has graduated from the course.</w:t>
            </w:r>
          </w:p>
          <w:p w:rsidR="00EB7645" w:rsidRPr="00BE00C7" w:rsidP="00BE00C7">
            <w:pPr>
              <w:pStyle w:val="OutcomeDescription"/>
              <w:spacing w:before="120" w:after="120"/>
              <w:rPr>
                <w:rFonts w:cs="Arial"/>
                <w:b w:val="0"/>
                <w:lang w:eastAsia="en-NZ"/>
              </w:rPr>
            </w:pPr>
            <w:r w:rsidRPr="00BE00C7">
              <w:rPr>
                <w:rFonts w:cs="Arial"/>
                <w:b w:val="0"/>
                <w:lang w:eastAsia="en-NZ"/>
              </w:rPr>
              <w:t>The improved communication skills have resulted in increased satisfaction ratings in resident and family surveys in the areas of courtesy/friendliness of care assistant, care assistant treat resident with dignity and respect, nurses treat resident with dignity and respect and courtesy and friendliness towards visitors by the nurses.  Residents confirmed on interview that these improvements have made a difference in their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2014 Selwyn improved the methods to deliver staff training and all staff are now trained using modules.  The health, safety and wellbeing module covers safety in the workplace, hazard management, risk management, incident reporting, fire and emergency procedures, moving and handling, management of waste and hazardous substances, wellbeing, bullying and harassment and managing stress for wellness.  The person centred care module includes the Selwyn Foundation mission, person centred care, the Eden alternative, Code of Rights, abuse and neglect, advocacy, culturally safe care, sexuality and intimacy, care planning, maximising independence, privacy and dignity and death and dying.  The clinical care module covers resuscitation, continence, pain management, skin integrity and wound management, nutrition and hydration, dementia and challenging behaviours and palliative care.  The communication and documentation in practice module covers communication, listening skills, documentation, clinical records, principles of clinical documentation – paper based and computerised, messages, incident reporting, hazard reporting, complaints and compliments and responding to feedback and privacy and confidentiality.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Foundation has reviewed and changed the ways in which training was delivered in 2014 and 2015.  The organisation identified in early 2014 that while staff were attending all mandatory training days, they did not all appear to be implementing the material taught.  Investigation into this showed that many staff struggled to learn in large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response to this, core training is now delivered over four modules using a train the trainer method.  A trainer’s guide, handouts and questionnaires have been developed for each module and Selwyn Heights management or staff has been trained to deliver each module.  Each of the modules has been delivered in small groups of four or five staff.  Staff interviewed report that they find the new training methods more informative and personalised to their learning style. </w:t>
            </w:r>
          </w:p>
          <w:p w:rsidR="00EB7645" w:rsidRPr="00BE00C7" w:rsidP="00BE00C7">
            <w:pPr>
              <w:pStyle w:val="OutcomeDescription"/>
              <w:spacing w:before="120" w:after="120"/>
              <w:rPr>
                <w:rFonts w:cs="Arial"/>
                <w:b w:val="0"/>
                <w:lang w:eastAsia="en-NZ"/>
              </w:rPr>
            </w:pPr>
            <w:r w:rsidRPr="00BE00C7">
              <w:rPr>
                <w:rFonts w:cs="Arial"/>
                <w:b w:val="0"/>
                <w:lang w:eastAsia="en-NZ"/>
              </w:rPr>
              <w:t>Following the introduction of the changed training methods, there has been significant gains in the Selwyn Heights satisfaction survey results in questions including technical skills of caregivers and technical skills of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an external contractor to manage the kitchen.  The menu is reviewed by a dietitian frequently.  The chef manager reported being kept well informed of residents changing dietary needs and this was confirmed by residents and family members interviewed.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Heights has introduced a range of measures to manage resident’s weight loss with improved outcomes for residents. In April 2015 the service identified that they would like to improve the outcomes for residents with identified weight loss.  A number of interventions were implemented including focusing the project on residents that had experienced weight loss in the past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for these residents were introduced that included areas such as dysphasia, oral care and other relevant issues.  The food choices of these residents were reviewed including likes and dislikes, the cognitive status of the resident and the time of day at which the resident was most awake to eat meals individually.  A food fortification programme was introduced for relevant residents that included fortifying meals the resident were eating to increase calorie intake.  All staff received training around this in June 2015 and the programme was described by the chef manager interviewed.  Monthly routine weights continued to capture residents at risk of weight loss and when weight loss was identified, the weight management procedure was followed in conjunction with the food fortification programme.  Further staff training around weight management was provided in November and December 2015 and March 2016.  </w:t>
            </w:r>
          </w:p>
          <w:p w:rsidR="00EB7645" w:rsidRPr="00BE00C7" w:rsidP="00BE00C7">
            <w:pPr>
              <w:pStyle w:val="OutcomeDescription"/>
              <w:spacing w:before="120" w:after="120"/>
              <w:rPr>
                <w:rFonts w:cs="Arial"/>
                <w:b w:val="0"/>
                <w:lang w:eastAsia="en-NZ"/>
              </w:rPr>
            </w:pPr>
            <w:r w:rsidRPr="00BE00C7">
              <w:rPr>
                <w:rFonts w:cs="Arial"/>
                <w:b w:val="0"/>
                <w:lang w:eastAsia="en-NZ"/>
              </w:rPr>
              <w:t>The programme was reviewed in April 2016 and the five residents on the programme were shown to have gained weight since the programme was introduced. All had either maintained or gained weight each month for the past five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assessed at admission and in an ongoing manner to establish interests and skills.  A plan is developed for the residents around activities.  The activity programme has been reviewed and improved, with resident input, resulting in significantly higher attendance at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April 2015 the service assessed that attendance levels at activities were low and that this was reflected in the satisfaction with the programme provided.  A goal was established to improve the programme as evidence by increased attendance.</w:t>
            </w:r>
          </w:p>
          <w:p w:rsidR="00EB7645" w:rsidRPr="00BE00C7" w:rsidP="00BE00C7">
            <w:pPr>
              <w:pStyle w:val="OutcomeDescription"/>
              <w:spacing w:before="120" w:after="120"/>
              <w:rPr>
                <w:rFonts w:cs="Arial"/>
                <w:b w:val="0"/>
                <w:lang w:eastAsia="en-NZ"/>
              </w:rPr>
            </w:pPr>
            <w:r w:rsidRPr="00BE00C7">
              <w:rPr>
                <w:rFonts w:cs="Arial"/>
                <w:b w:val="0"/>
                <w:lang w:eastAsia="en-NZ"/>
              </w:rPr>
              <w:t>A new activities coordinator was employed.  Residents were encouraged to provide feedback on activities at monthly resident meetings and the programme was adjusted to reflect feedback.  Activities now include integration with independent living residents to provide a more community atmosphere, Tai Chi, visits by the clown doctors and cooking classes.  Residents in the rest home have been growing their own vegetables, which are cooked and eaten by residents. The service has created a resident friendly garden in the hospital area. Other activities include musical entertainment, spontaneous Devonshire teas, bbq’s and cognitive therapy activities.</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these activities, attendance has significantly improved. Hospital residents, who previously attended between 35 and 54 activities per month, now attend in excess of 120 activities per month.  Rest home residents who routinely attended between 5 and 50 activities per month have increased to between 17 (for a resident who prefers 1:1 engagement) and 85 activities per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an infection occurs (based on standardised signs and symptoms), an infection control report is completed and provided to the infection control nurse.  A short-term care plan is also completed.  The infection control nurse keeps a monthly summary log of all infections and all are logged into the online data base for benchmarking.  Benchmarking results are provided to staff.  A monthly report is provided to the group residential care manager.  This includes actions taken, trends identified, proposals and actions indicated to reduce negative trends and analysis of the effectiveness of corrective actions.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2015 the infection control nurse identified that while the infection rate at Selwyn Heights was low compared to other facilities, a reduction in infection rates would benefit residents.  The project was supported by the Selwyn clinical nurse specialist and the combined Selwyn infection control coordinators.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infections where comprehensively analysed for trends.  Actions to reduce negative trends were identified and included staff and resident education, analysis of ideal products to be used and increased fluid rounds in hot weather.  The actions were identified, discussed at staff/quality meetings and implemented.  In December 2015 a new monthly reporting form was developed and these have been comprehensively completed at Selwyn Heights.  The form identifies the types of residents with infections (using sub-grouping), the types of infections, treatments used, trends identified and ongoing improvements implements for each sub-group.  The summary section includes details behind the analysis and analysis of improvements previously implemented.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this detailed analysis and addressing of trends, the facility wide infection rate has dropped from seven infections per 1000 bed days in August 2015 to two infections per 1000 bed days in March 2016.  The most significant reductions occurred in upper and lower respiratory tract infections and UTI’s.  In March 2016, two infections were recorded in the entire facility.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Selwyn Heights</w:t>
    </w:r>
    <w:bookmarkEnd w:id="58"/>
    <w:r>
      <w:rPr>
        <w:rFonts w:cs="Arial"/>
        <w:sz w:val="16"/>
        <w:szCs w:val="20"/>
      </w:rPr>
      <w:tab/>
      <w:t xml:space="preserve">Date of Audit: </w:t>
    </w:r>
    <w:bookmarkStart w:id="59" w:name="AuditStartDate1"/>
    <w:r>
      <w:rPr>
        <w:rFonts w:cs="Arial"/>
        <w:sz w:val="16"/>
        <w:szCs w:val="20"/>
      </w:rPr>
      <w:t>4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