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Elmswood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March 2016</w:t>
      </w:r>
      <w:bookmarkEnd w:id="7"/>
      <w:r w:rsidRPr="009418D4">
        <w:rPr>
          <w:rFonts w:cs="Arial"/>
        </w:rPr>
        <w:tab/>
        <w:t xml:space="preserve">End date: </w:t>
      </w:r>
      <w:bookmarkStart w:id="8" w:name="AuditEndDate"/>
      <w:r w:rsidR="00A4268A">
        <w:rPr>
          <w:rFonts w:cs="Arial"/>
        </w:rPr>
        <w:t>9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was undertaken to monitor compliance with the Health and Disability Service Standards and the district health board contract. Elmswood Home is operated by the Oceania Care Company limited Elmswood Home and is a dementia unit. Elmswood Home can provide care for up to 38 residents. On the days of this audit there were 34 residents. The audit process included review of policies and procedures, sampling of resident and staff files, observations, interviews with residents and their families, management, staff and a general practitioner.</w:t>
      </w:r>
    </w:p>
    <w:p w:rsidRPr="00A4268A">
      <w:pPr>
        <w:spacing w:before="240" w:line="276" w:lineRule="auto"/>
        <w:rPr>
          <w:rFonts w:eastAsia="Calibri"/>
        </w:rPr>
      </w:pPr>
      <w:r w:rsidRPr="00A4268A">
        <w:rPr>
          <w:rFonts w:eastAsia="Calibri"/>
        </w:rPr>
        <w:t>This certification audit identified improvements required to aspects of the Health and Disability Commissioner's Code of Health and Disability Services Consumers' Rights, the quality and risk management programme, documentation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information (the Code), the complaints process and the Nationwide Health and Disability Advocacy Service, was accessible. This information is given to residents’ and their families on admission to the dementia unit. There are requirements for improvement relating to dignity, respect and open disclosure. Residents and family interviewed confirmed consent forms are provided. There is a requirement for improvement relating to maintaining the complaints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services for dementia care, provided at the Elmswood Home. The business and care manager is appropriately qualified and experienced. The clinical manager is new to the role and responsible for oversight of clinical care. HealthCERT received notification of this appointment. </w:t>
      </w:r>
    </w:p>
    <w:p w:rsidRPr="00A4268A">
      <w:pPr>
        <w:spacing w:before="240" w:line="276" w:lineRule="auto"/>
        <w:rPr>
          <w:rFonts w:eastAsia="Calibri"/>
        </w:rPr>
      </w:pPr>
      <w:r w:rsidRPr="00A4268A">
        <w:rPr>
          <w:rFonts w:eastAsia="Calibri"/>
        </w:rPr>
        <w:t>Risks are identified and the hazard register is up to date. Adverse events are documented on incident and accident forms. Quality improvement data is collected, collated, analysed and reported through the use of their national quality system; however there are requirements for improvement relating to recording of meeting minutes, corrective action plans and recording of names and designations.</w:t>
      </w:r>
    </w:p>
    <w:p w:rsidRPr="00A4268A">
      <w:pPr>
        <w:spacing w:before="240" w:line="276" w:lineRule="auto"/>
        <w:rPr>
          <w:rFonts w:eastAsia="Calibri"/>
        </w:rPr>
      </w:pPr>
      <w:r w:rsidRPr="00A4268A">
        <w:rPr>
          <w:rFonts w:eastAsia="Calibri"/>
        </w:rPr>
        <w:t xml:space="preserve">Policies and procedures relating to human resources management processes govern their practices. Staff education records confirmed in-service education is provided. The business and care manager validates annual practising certificates for health professionals who require registration with their professional bodies. A documented rationale for determining staffing levels and skill mix was reviewed. The clinical manager is available after hours if required for clinical support. Care staff, residents and family report that there is adequate staff available.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from suitably experienced staff. Residents’ files demonstrate initial assessments, initial care plans, and long term care plans are conducted within the required timeframes. Care plan evaluations are documented, resident focused and indicate progress towards meeting residents’ desired outcomes. Where progress of a resident is different from expected, the service responds by initiating changes to the long term care plan. Short term problems are recorded on short term care plans. Family have the opportunity to contribute to care planning and care plan reviews.</w:t>
      </w:r>
    </w:p>
    <w:p w:rsidRPr="00A4268A" w:rsidP="00621629">
      <w:pPr>
        <w:spacing w:before="240" w:line="276" w:lineRule="auto"/>
        <w:rPr>
          <w:rFonts w:eastAsia="Calibri"/>
        </w:rPr>
      </w:pPr>
      <w:r w:rsidRPr="00A4268A">
        <w:rPr>
          <w:rFonts w:eastAsia="Calibri"/>
        </w:rPr>
        <w:t xml:space="preserve">Recreational assessment and 24 hour recreational plans are completed for all residents. Activities are planned by the diversional therapist and the programme is available to residents. </w:t>
      </w:r>
    </w:p>
    <w:p w:rsidRPr="00A4268A" w:rsidP="00621629">
      <w:pPr>
        <w:spacing w:before="240" w:line="276" w:lineRule="auto"/>
        <w:rPr>
          <w:rFonts w:eastAsia="Calibri"/>
        </w:rPr>
      </w:pPr>
      <w:r w:rsidRPr="00A4268A">
        <w:rPr>
          <w:rFonts w:eastAsia="Calibri"/>
        </w:rPr>
        <w:t xml:space="preserve">The medication management system evidences compliant processes for reconciliation, prescribing, administration, dispensing, storage and disposal of medicines. Medicine management training is conducted annually. Self-administration of medicines is not practiced at this dementia unit. All staff responsible for medicines management have current medication competencies. </w:t>
      </w:r>
    </w:p>
    <w:p w:rsidRPr="00A4268A" w:rsidP="00621629">
      <w:pPr>
        <w:spacing w:before="240" w:line="276" w:lineRule="auto"/>
        <w:rPr>
          <w:rFonts w:eastAsia="Calibri"/>
        </w:rPr>
      </w:pPr>
      <w:r w:rsidRPr="00A4268A">
        <w:rPr>
          <w:rFonts w:eastAsia="Calibri"/>
        </w:rPr>
        <w:t>The food service at the facility is provided from another Oceania facility. Food and nutritional needs of residents are provided in line with recognised nutritional guidelines and menus are reviewed by a dietitian. Food service complies with current legislation and guidelines.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resident bedrooms provide single accommodation and the majority of residents are sharing communal bathroom facilities. Residents' rooms have adequate personal space. Lounges and dining areas are available for residents and external areas are available for sitting. Shade is provided. </w:t>
      </w:r>
    </w:p>
    <w:p w:rsidRPr="00A4268A">
      <w:pPr>
        <w:spacing w:before="240" w:line="276" w:lineRule="auto"/>
        <w:rPr>
          <w:rFonts w:eastAsia="Calibri"/>
        </w:rPr>
      </w:pPr>
      <w:r w:rsidRPr="00A4268A">
        <w:rPr>
          <w:rFonts w:eastAsia="Calibri"/>
        </w:rPr>
        <w:t xml:space="preserve">The facility has a call bell system in place. The service has security systems in place to ensure resident safety. Sluice facilities are provided and protective equipment and clothing is provided and used by staff. </w:t>
      </w:r>
    </w:p>
    <w:p w:rsidRPr="00A4268A">
      <w:pPr>
        <w:spacing w:before="240" w:line="276" w:lineRule="auto"/>
        <w:rPr>
          <w:rFonts w:eastAsia="Calibri"/>
        </w:rPr>
      </w:pPr>
      <w:r w:rsidRPr="00A4268A">
        <w:rPr>
          <w:rFonts w:eastAsia="Calibri"/>
        </w:rPr>
        <w:t>Chemicals, linen and equipment are safely stored. Laundry services are provided by another service and delivered to the service. The service has a current building warrant of fitness which expires in May 2016. The preventative and reactive maintenance programme includes equipment and electrical checks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There were no residents using restraint or requiring enablers on audit days. Staff education in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 to residents, staff and visitors. There is an infection prevention and control programme which is reviewed annually. An infection control nurse is responsible for this programme. </w:t>
      </w:r>
    </w:p>
    <w:p w:rsidRPr="00A4268A">
      <w:pPr>
        <w:spacing w:before="240" w:line="276" w:lineRule="auto"/>
        <w:rPr>
          <w:rFonts w:eastAsia="Calibri"/>
        </w:rPr>
      </w:pPr>
      <w:r w:rsidRPr="00A4268A">
        <w:rPr>
          <w:rFonts w:eastAsia="Calibri"/>
        </w:rPr>
        <w:t>Infection prevention and control education is included in the staff orientation programme, and in the in-service education programme. There is a requirement relating to the infection control nurse’s additional education in infection control.</w:t>
      </w:r>
    </w:p>
    <w:p w:rsidRPr="00A4268A">
      <w:pPr>
        <w:spacing w:before="240" w:line="276" w:lineRule="auto"/>
        <w:rPr>
          <w:rFonts w:eastAsia="Calibri"/>
        </w:rPr>
      </w:pPr>
      <w:r w:rsidRPr="00A4268A">
        <w:rPr>
          <w:rFonts w:eastAsia="Calibri"/>
        </w:rPr>
        <w:t>Surveillance of infections is occurring according to the descriptions of the process in the programme. Data on the nature and frequency of identified infections is collated and analysed. The results of surveillance are reported through all levels of the organisation, including governance and benchmarked against other Oceania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6"/>
        <w:gridCol w:w="1280"/>
        <w:gridCol w:w="83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received education on the Health and Disability Commissioner (HDC) Code of Health and Disability Services Consumers' Rights (the Code) during their induction to the service. This also forms part of their annual mandatory education programme. Interviews with the staff confirmed their understanding of the Code. Examples were provided on ways the Code is implemented in their everyday practice, especially regarding maintaining of residents' privacy, providing residents with choices and encouraging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information on how to make a complaint and brochures on the Code. Care staff were respectful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residents, and where appropriate, their family are being provided with information to assist them to make informed choices and give informed consent.  Written information on informed consent is included in the admission agreements. The clinical manager and business and care manager report informed consent is discussed and recorded at the time the resident is admitted to the facility. Family interviews confirmed they have been made aware of and understand the principles of informed consent.  Copies of legal documents such as Enduring Power of Attorney (EPOA) for residents are retained at the facility where residents have named EPOAs.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policies regarding advocacy/support services in place that specify advocacy processes and how to access independent advocates. The facility manager advised that the independent advocate visits the service regularly. Care staff interviewed demonstrated an understanding of how residents can access advocacy and support persons. </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that advocacy support is available to them, if required. They also confirmed this information was included in the information package they received on admission. The nationwide advocate details are displayed along with advocacy information brochures. Admission information was reviewed and provided evidence advocacy, complaints and the Code information is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interviews confirmed residents have access to visitors of their choice. The service has a van available to take residents on community visits and outings. Residents go out with family. Visitors' policy and guidelines are available to ensure resident safety and well-being is not compromised by visitors to the service.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complaints, the investigation of complaints. There is an improvement required to management of complaints. The business and care manager disclosed there had been one Health and Disability Commissioner enquiry, which had been closed and another enquiry is still outstanding since the previous audit, at this facility. Te documentation was reviewed by the auditor during the onsite audit.</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family are advised on entry to the facility of the complaint processes and the Code. The complaint process was readily accessible and complaints forms are displayed for easy access; however the complaints register was not up-to-date. Residents and family interviewed confirmed having an understanding and awareness of how to make a complaint; however some of the complaints referred to during family interviews were not reflected in the complaints register. Resident meetings are held monthly and residents and their families are able to raise any issues they have during these meetings, confirmed during interviews.</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and information on the advocacy service are available and displayed in English and Te Reo. The admission information packs reviewed included information on the Code, advocacy and complaints processes.  Family members interviewed confirmed they were provided with information regarding the Code and the Nationwide Health and Disability Advocacy Service prior to admission.</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received copies of the Oceania Handbook. Interviews confirmed explanations regarding their rights occurred on admission. Families and residents are informed of the scope of services. This is included in the service/admission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had access to an advocate, if needed. The business and care manager advised that an advocate visits the facility on a regular basis and is also responsible for taking resident meetings. The completed resident and family survey questionnaires indicated residents/family are aware of their rights and are satisfied with this aspect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abuse/neglect as part of the in service education programme. Staff were observed knocking before entering residents' rooms and keeping doors closed while attending to residents.  Care staff interviewed demonstrated an awareness of residents’ rights and the maintenance of professional boundaries. Residents were observed being treated with respect by care staff during this audit. However, family interviews and incident reports showed consistent loss of resident’s personal clothing over the previous three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and outings in the community are encouraged, and are part of the resident’s activities plan. Values, beliefs and cultural aspects of care were recorded in residents’ clinical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describes that the holistic view of Māori health is to be incorporated into the delivery of services. The rights of the residents/family to practise their own beliefs are acknowledged in the Māori health plan. Access to Māori support and advocacy services is available, if required from a local provider of health and social services. </w:t>
            </w:r>
          </w:p>
          <w:p w:rsidR="00EB7645" w:rsidRPr="00BE00C7" w:rsidP="00BE00C7">
            <w:pPr>
              <w:pStyle w:val="OutcomeDescription"/>
              <w:spacing w:before="120" w:after="120"/>
              <w:rPr>
                <w:rFonts w:cs="Arial"/>
                <w:b w:val="0"/>
                <w:lang w:eastAsia="en-NZ"/>
              </w:rPr>
            </w:pPr>
            <w:r w:rsidRPr="00BE00C7">
              <w:rPr>
                <w:rFonts w:cs="Arial"/>
                <w:b w:val="0"/>
                <w:lang w:eastAsia="en-NZ"/>
              </w:rPr>
              <w:t>Staff members also provide cultural advice and support for staff if required. A cultural assessment is completed as part of the care plan for all residents. Specific cultural needs are identified in the residents’ care plans and this was sighted in files reviewed. Staff were aware of the importance of whānau in the delivery of care for the Māori residents. Family/whānau are able to be involved in the care of their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provided evidence that appropriate culturally safe practices are implemented and maintained, including respect for residents' cultural and spiritual values and beliefs. The organisations documentation lists the details on how to access appropriate expertise including cultural specialists and interpreters. Residents' files demonstrated that admission documentation identifies the ethnicity, cultural and spiritual requirements for the residents as well as family/whānau contact details. The service has one residents identifying as Māori.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culture, values and beliefs are being respected, and their spiritual needs are met. During interview, care staff demonstrated an understanding of cultural safety in relation to care and confirmed that processes are in place for residents to have access to appropriate services, ensuring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policies and procedures outline processes to protect residents from abuse, including discrimination, coercion, harassment, and exploitation, along with actions to be taken if there is inappropriate or unlawful conduct.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reviewed included copies of the code of conduct that all staff are required to adhere to. Conflict of interest issues, including the accepting of gifts and personal transactions with residents are included in the staff training, policies and procedures.  Expected staff practice is outlined in job descriptions and employment contracts, which were reviewed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adverse events reporting system, complaints register and interview of the business and care manager indicates there have been no allegations made by residents of unacceptable behaviour by staff members.  Residents and family interviewed reported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by specialist educators as part of the in-service education programme which is overseen by the clinical manager with input from the business and care manager and the regional clinical quality manager. The district health board (DHB) also provides education as part of the in 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quality manager, the business and care manager and the clinical manager/registered nurse described the process for ensuring service provision is based on best practice, including access to education by specialist educators.  Staff interviewed confirmed an understanding of professional boundaries and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provided evidence that policies and procedures are based on evidence based rationales.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were in place to ensure staff maintain open, transparent communication with residents and families. However interviews with families confirm a lack of communication with service providers and incident and accident records do not consistently confirm communication with family through the notification process. The residents' files reviewed provided evidence that communication with family members was being documented in residents' records. There was evidence of communication with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advised access to interpreter services is available if required via the district health board if required. They also advised there were no residents who required interpreter services. Residents interviewed confirmed that they are aware of the staff that are responsible for their care. Admission agreements reviewed were signed and dated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Limited’s vision, values, mission statement and philosophy are displayed at the entrance to the facility. The organisation has systems in place recording the scope, direction and goals of the organisation. The business and care manager and the clinical manager provide monthly reports to the support office. Business status reports include quality and risk management issues, occupancy, human resource issues, quality improvements, internal audits and clinical indicators (refer to 1.2.3.6 and 1.2.3.8). The business and care manager had been in this position for more that ten years and completed various management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and care manager, supported by a newly appointed clinical manager and regional clinical quality manager (CQM). The clinical manager/RN is employed in a full time position to work with the business and care manager and has responsibility for all clinical matters. The CM from another facility stands in for the CM when on leave. The clinical manager’s appointment was confirmed with HealthCERT, auditors sighted a copy of the notification during the onsite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business and care manager (BCM) and / or the clinical manager (CM) be absent. The CM or the clinical quality manager stands in when the business and care manager is absent.  Support is also provided by the regional operations manager and the senior clinical quality manager from the support office.  The CM confirmed their responsibility and authority for this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with quality objectives, including a quality and risk management plan and business plan was reviewed.  These are used to guide the quality programme and include goals and objectives. Internal audits for 2015 /2016 were reviewed.. Family/resident and staff satisfaction surveys are completed as part of the audit programme and collated results for surveys were reviewed. Risks are identified and minimised. There is a hazard register that identifies health and safety risks as well as risks associated with human resource management, legislative compliance, contractual risks and clinical risk. A health and safety manual is available that includes relevant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and resident meetings are held. There is a requirement for improvement relating to meeting minutes not providing sufficient evidence to support the content of discussion and decision making as a result of the meeting. There was evidence this information is being reported to staff at staff meetings. There is a requirement for improvement relating to quality improvement data, including internal audits and incident/accident reports not addressing areas requiring improvement appropriately. </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in place for reviewing and updating policies and procedures regularly, including a policy for document update reviews and document control.  Staff confirmed during interviews that they are advised of updated policies and they confirmed the policies and procedures provide appropriate guidance for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an accident / incident form. This was confirmed in clinical records and during family/resident interviews. Incident and accident forms are reviewed and signed off by the business and care manager (refer to 1.2.3.8).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outlines accountability, responsibilities and authority.  These were reviewed on staff files along with employment agreements, reference checking, criminal vetting,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Copies of annual practising certificates were reviewed for all staff that require them to practice and are current.  The clinical manager is responsible for the in-service education programme. Competency assessment questionnaires were available and completed competencies were reviewed. All care staff have either completed or commenced the New Zealand Qualifications Authority approved aged care education modules.  Staff are supported to complete education via external education providers, including training on dementia care.  Staff complete annual training on the management of challenging behaviour. An appraisal schedule is in place and current staff appraisals were sighted on all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complete this prior to their commencement of care to residents.  The business and care manager advised that staff are orientated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Care staff interviewed confirmed they have completed an orientation, including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in order to provide safe service delivery.  Registered nurse (RN) cover is provided 24 hours a day.  On call after hours RN support and advice is provided by the clinical manager. The minimum amount of staff on duty is during the night and consists of one RN and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are adequate staff available and that they are able to get through their work. Residents are supervised in communal areas. There is at least one staff member with a current first aid certificate on each shift.  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was entered in an accurate and timely manner into a register on the day of admission, using the ‘Peoples Point’ system.  Resident files are integrated and recent resident information is located in residents' files.  Resident files reviewed provided evidence that an entry into the residents’ clinical record includes the time of entry, the date and entries are dated. Entries to the residents’ daily record do not consistently show the name or designation of the service provider.  Approved abbreviations are listed.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securely in staff areas. Clinical notes are current and accessible to all clinical staff. Individual resident files demonstrated service integration. This included medical care interventions.  Medication charts are in a separate folder with medication.  The resident's national health index (NHI) number, name, date of birth and general practitioner (GP) are used as the unique identifier.  Clinical staff interviewed confirmed they know how to maintain confidentiality of resident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and implemented. The service’s philosophy is displayed at the facility and communicated to residents, family, relevant agencies and staff. The facility information pack is available for residents and their family (refer to 1.1.9).</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family, EPOA and facility representative sign off. The admission agreement defines the scope of the service and includes all contractual requirements. The needs assessments are completed for dementia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in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procedures are comprehensive and identify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of medicine administration was observed on the days of the audit. The staff observed demonstrated good knowledge and had a clear understanding of their roles and responsibilities related to each stage of medicine management.  All staff who administer medicines have current medication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The GP’s signature and date are recorded on the commencement and discontinuation of medicines, allergies are identified and three monthly medication reviews are conducted. There are no residents who self-administer medicines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are appropriate to the service setting with a new seasonal menu being introduced six monthly. The menu is reviewed by a dietitian. Food is cooked at Melrose Park (Oceania facility located across the road from Elmswood Home and delivered in hot boxes to the Elmswood Home satellite kitchen.  Lunch time food service was observed. Interviews with the kitchen manager at Melrose Park confirmed awareness of Elmswood Home residents’ dietary requirements. Residents’ dietary sheets are located at Melrose Rest Home and Village for kitchen staff’s reference.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a kitchen hand at Elmswood Home confirmed awareness of residents’ dietary preferences and food allergies. Residents' dietary requirements are identified, documented and reviewed on a regular basis, as part of the care plan review, confirmed at clinical manager interview. There are current copies of residents' dietary profiles in the Elmswood Home satellite kitchen, sighted.  In the Elmswood Home satellite kitchen food temperatures are recorded, kitchen fridge, and freezer temperatures are recorded and decanted food is dated. </w:t>
            </w:r>
          </w:p>
          <w:p w:rsidR="00EB7645" w:rsidRPr="00BE00C7" w:rsidP="00BE00C7">
            <w:pPr>
              <w:pStyle w:val="OutcomeDescription"/>
              <w:spacing w:before="120" w:after="120"/>
              <w:rPr>
                <w:rFonts w:cs="Arial"/>
                <w:b w:val="0"/>
                <w:lang w:eastAsia="en-NZ"/>
              </w:rPr>
            </w:pPr>
            <w:r w:rsidRPr="00BE00C7">
              <w:rPr>
                <w:rFonts w:cs="Arial"/>
                <w:b w:val="0"/>
                <w:lang w:eastAsia="en-NZ"/>
              </w:rPr>
              <w:t>The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 the clinical manager verified a process exists for informing residents, their family/whānau and their referrers if entry is declined.  The reason for declining entry would be communicated to the referrer, resident and their family or advocate in a timely and compassionate format that was understood.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 the needs assessment and service coordination (NASC) agency; other service providers involved with the resident; family/whānau and on-site assessments using a range of assessment tools. The information gathered is documented and informs the initial care planning process.  This takes place in the privacy of the resident’s bedroom with the resident and/or family/whānau present,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Over the three weeks post admission, the RN undertakes an interRAI assessment, and other assessments as clinically indicated, which are reviewed six monthly or as needs, outcomes and goals of the resident change. A management plan for behaviours that challenge are completed recording specific interventions and activities to be used for behavioural management over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individualised, and current. The assessment findings are recorded in the care plans and describe the support the resident needs to meet their goals and desired outcomes. Care plans evidence service integration with progress notes, activities notes, and medical and allied health professionals’ notations clearly written.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is consistent with residents’ needs and desired outcomes. Care plan interventions are updated to reflect latest assessment findings.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of equipment seen to be available that comply with best practice guidelines and meet the residents’ needs. Interview with the clinical manager confirmed equipment when required can be accessed from another Oceania facility located over the road (Melrose Rest Home and Village).</w:t>
            </w:r>
          </w:p>
          <w:p w:rsidR="00EB7645" w:rsidRPr="00BE00C7" w:rsidP="00BE00C7">
            <w:pPr>
              <w:pStyle w:val="OutcomeDescription"/>
              <w:spacing w:before="120" w:after="120"/>
              <w:rPr>
                <w:rFonts w:cs="Arial"/>
                <w:b w:val="0"/>
                <w:lang w:eastAsia="en-NZ"/>
              </w:rPr>
            </w:pPr>
            <w:r w:rsidRPr="00BE00C7">
              <w:rPr>
                <w:rFonts w:cs="Arial"/>
                <w:b w:val="0"/>
                <w:lang w:eastAsia="en-NZ"/>
              </w:rPr>
              <w:t>Management plan for behaviours that challenge are completed with specific interventions and activities to be used for behavioural management over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determine their appropriate individual diversional and recreational requirements.  Activities assessments are analysed to develop an activities programme that is meaningful to the residents and provided five days a week. In interview, the diversional therapist (DT) confirmed the activities programme meets the needs of the service group and the service has appropriate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plan, implement and evaluate the activities programme.  Along with the activities staff, the health care assistants (HCAs) implement individual resident’s activities, as recorded on the residents’ 24 hour activities care plans. Interviews with HCAs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Regular exercises and outings are provided for those residents able and willing to partake. The activities programme includes input from external agencies and supports ordinary unplanned/spontaneous activities including festive occasions and celebrations. There are current, individualised activities care plans in residents’ files. The residents’ and family meeting minute’s evidence residents’ involvement and consultation of the planned activities programme (refer to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or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Where progress is different from expected, the service responds by initiating changes to the long 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of the interventions on the behavioural management plans are conducted monthly or more frequently depending of the frequency of the behaviours that challenge.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referral to other health and/or disability service providers.  If the need for other non-urgent services are indicated or requested, the GP or the RN sends a referral to seek specialist service provider assistance from the DHB.  Referrals are followed up on a regular basis by the RN or the GP.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the hazard register is current. Policies and procedures specify labelling requirements in line with legislation including the requirement for labels to be clear, accessible to read and are free from damage. Material safety data sheets are available throughout the facility and accessible for staff.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including; goggles/visors; gloves; aprons; footwear; and masks. During a tour of the facility, personal protective clothing and equipment was observed in areas where there were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 date of expiry is 16 May 2016. There have been no building modifications since the last audit. The service has a planned maintenance schedule implemented with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observation of the facility confirm there is adequate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providing privacy when required. There are internal courtyards and lawn areas with shade, seating and outdoor tables. The service is a secure unit for residents identified as requiring dementia care. Access into the service from the foyer is through touch pads and key pads are used to exit the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report that there are sufficient toilets and showers with some rooms with their own en-suite.  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in all bedrooms to allow residents and staff to safely move around within the room. Equipment is sighted in rooms requiring this with sufficient space for both the equipment, for example; hoists, at least two staff and the resident. Rooms are personalised with furnishings, photos and other personal adornments and the service encourages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 and dining areas including areas that can be used for activities. All areas are easily accessed by residents and staff.  Residents are able to access areas for privacy, when required.  Furniture is appropriate to the setting and arranged in a manner which enabled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The dining areas have ample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services are completed at another Oceania service provider and delivered to Elmswood Home in covered laundry trolleys and bags. There are designated clean and dirty areas in the laundry with separate doors to take clean and dirty laundry in and out. Laundry staff are required to return linen to the rooms.  Residents and family members state they have concerns with regards to loss of personal laundry (refer to 1.1.3.1).The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site during the day, seven days a week. The cleaners have a lockable cupboard to put chemicals in and the cleaners are aware that the trolley must be with them at all times.  Cleaners were observed on the days of the audit keeping the cleaning trolley in sight. All chemicals are in appropriately labelled containers. Laundry chemicals are administered through a closed system which is managed by a chemical contractor company. Products are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approved by the New Zealand Fire Service. An evacuation policy on emergency and security situations is in place.  A fire drill is provided to staff six monthly. The orientation programme includes fire and security training.  Staff confirmed their awareness of emergency procedures. All required fire equipment is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emergency lighting and gas BBQ’s.  An electronic call bell system utilises a pager system.  There are call bells in all resident rooms, resident toilets, and communal areas including the hallways and dining rooms.  Call bell audits are routinely completed and residents and family state that there are prompt responses to call bells. There is always at least one staff member with a first aid certificate on duty with twenty care staff having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External doors leading to the gardens are locked after sun-set. Staff complete a check in the evening that confirms that security measures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possible.  Residents are provided with adequate natural light, safe ventilation, heating and an environment that is maintained at a safe and comfortable temperature. Family and residents confirm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policy and procedures provide information and resources to inform staff on infection prevention and control. The delegation of infection control matters is documented in policy, along with an infection control nurse’s (ICN) job description. The ICN is the clinical manager from another Oceania facility (Melrose Rest Home and Village) located across the road from Elmswood Home.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companywide Oceania IC committee, which is led by the Oceania general manager, aged care. The IC programme is reviewed annually by the Oceania infection control committee and communicated to individual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relevant and current information, which is appropriate to the size and complexity of the two Oceania services (Elmswood Home and Melrose Rest Home and Village).  Interview with the ICN confirm access to the district health board (DHB) infection prevention and control specialists, public health and clinical and quality manager at Oceania.</w:t>
            </w:r>
          </w:p>
          <w:p w:rsidR="00EB7645" w:rsidRPr="00BE00C7" w:rsidP="00BE00C7">
            <w:pPr>
              <w:pStyle w:val="OutcomeDescription"/>
              <w:spacing w:before="120" w:after="120"/>
              <w:rPr>
                <w:rFonts w:cs="Arial"/>
                <w:b w:val="0"/>
                <w:lang w:eastAsia="en-NZ"/>
              </w:rPr>
            </w:pPr>
            <w:r w:rsidRPr="00BE00C7">
              <w:rPr>
                <w:rFonts w:cs="Arial"/>
                <w:b w:val="0"/>
                <w:lang w:eastAsia="en-NZ"/>
              </w:rPr>
              <w:t>The IC meetings have commenced in December 2015 and are conducted bi-monthly. The IC meetings are held at Melrose Rest Home and Village with the IC committee members selected from Melrose Rest Home and Village staff. The meeting minutes from the IC meetings evidence not all areas relating to IC are discussed and there is inconsistent evidence of regular reports on infection related issues to staff and management at Elmwood Home (refer to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reviewed by the company wide Oceania infection control committee and are relevant to the service and reflect current accepted good practice and relevant legislative requirements. They are written in a user friendly format and contain appropriate level of information and are readily accessible to all personnel, confirmed at staff interviews.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education is provided to all staff, as part of their orientation and as part of the on-going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IC staff education is provided by the ICN and by self-directed learning. Education sessions have evidence of staff attendance/ participation and content of the presentations. Staff are required to complete IC competencies, sighted in staff files and confirmed at staff interviews. ICN has not completed IC education relevant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at Elmswood Home is responsible for the surveillance programme. The business and care manager oversees both facilities (Elmswood Home and Melrose Rest Home and Village) coordinating services between the two facilities, including infection control (IC).</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monitors the numbers and types of infections occurring at the facility.  The IC meetings are conducted at Melrose Rest Home and Village and the content of the meeting requires include all relevant IC data (refer to 1.2.3). The surveillance data is used for benchmarking against other Oceania facilities. Monthly surveillance analysis is completed and reported on the Oceania intranet.</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 the residents’ who are diagnosed with an infection have short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interviews, the ICN and the clinical manager confirm no outbreak had occurred at the Elmswood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There were no residents at the facility using enablers or residents using restraint on audit days. The restraint coordinator is the clinical manager from another Oceania facility (Melrose Rest Home and Village) located over the road from Elmswood Home. Interview with the restraint coordinator confirmed there have been no restraints or enablers used at the facility in the past. The business and care manager oversees both facilities (Elmswood Home and Melrose Rest Home and Village) coordinating services between the two facilities, including restraint management.</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was provided. The staff restraint competencies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Oceania national restraint authority group annual meeting was conducted in February 2016 and the meeting minute’s evidence discussion and evidence of data around Oceania progress in reducing restraint usage nationally.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99"/>
        <w:gridCol w:w="1280"/>
        <w:gridCol w:w="7385"/>
        <w:gridCol w:w="1648"/>
        <w:gridCol w:w="18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showed entries of four complaints. The complaints register included the date of the complaint, a heading with a short summary for the complaint, opportunity to record the resolution of the complaint, the date of this resolution and opportunity to record the review and outcome of the complaint. Interviews with family referred to complaints that were not included in the complaints register. The service’s records provider a list of steps to be taken during the resolution of completints with the opportunity for the person to identify when these steps are taken (for example; acknowledgement of the complaint, investigation of the complaints, continued contact with the complainant and more).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complaints are recorded.</w:t>
            </w:r>
          </w:p>
          <w:p w:rsidR="00EB7645" w:rsidRPr="00BE00C7" w:rsidP="00BE00C7">
            <w:pPr>
              <w:pStyle w:val="OutcomeDescription"/>
              <w:spacing w:before="120" w:after="120"/>
              <w:rPr>
                <w:rFonts w:cs="Arial"/>
                <w:b w:val="0"/>
                <w:lang w:eastAsia="en-NZ"/>
              </w:rPr>
            </w:pPr>
            <w:r w:rsidRPr="00BE00C7">
              <w:rPr>
                <w:rFonts w:cs="Arial"/>
                <w:b w:val="0"/>
                <w:lang w:eastAsia="en-NZ"/>
              </w:rPr>
              <w:t>ii) Steps taken in the resolution process were not specific documentation to evidence the process</w:t>
            </w:r>
          </w:p>
          <w:p w:rsidR="00EB7645" w:rsidRPr="00BE00C7" w:rsidP="00BE00C7">
            <w:pPr>
              <w:pStyle w:val="OutcomeDescription"/>
              <w:spacing w:before="120" w:after="120"/>
              <w:rPr>
                <w:rFonts w:cs="Arial"/>
                <w:b w:val="0"/>
                <w:lang w:eastAsia="en-NZ"/>
              </w:rPr>
            </w:pPr>
            <w:r w:rsidRPr="00BE00C7">
              <w:rPr>
                <w:rFonts w:cs="Arial"/>
                <w:b w:val="0"/>
                <w:lang w:eastAsia="en-NZ"/>
              </w:rPr>
              <w:t>iii) 2/4 recorded, did not have reviews recorded.</w:t>
            </w:r>
          </w:p>
          <w:p w:rsidR="00EB7645" w:rsidRPr="00BE00C7" w:rsidP="00BE00C7">
            <w:pPr>
              <w:pStyle w:val="OutcomeDescription"/>
              <w:spacing w:before="120" w:after="120"/>
              <w:rPr>
                <w:rFonts w:cs="Arial"/>
                <w:b w:val="0"/>
                <w:lang w:eastAsia="en-NZ"/>
              </w:rPr>
            </w:pPr>
            <w:r w:rsidRPr="00BE00C7">
              <w:rPr>
                <w:rFonts w:cs="Arial"/>
                <w:b w:val="0"/>
                <w:lang w:eastAsia="en-NZ"/>
              </w:rPr>
              <w:t>iv) 4/4 complaints recorded did not have closing dates/outcomes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All complaints to be recorded.</w:t>
            </w:r>
          </w:p>
          <w:p w:rsidR="00EB7645" w:rsidRPr="00BE00C7" w:rsidP="00BE00C7">
            <w:pPr>
              <w:pStyle w:val="OutcomeDescription"/>
              <w:spacing w:before="120" w:after="120"/>
              <w:rPr>
                <w:rFonts w:cs="Arial"/>
                <w:b w:val="0"/>
                <w:lang w:eastAsia="en-NZ"/>
              </w:rPr>
            </w:pPr>
            <w:r w:rsidRPr="00BE00C7">
              <w:rPr>
                <w:rFonts w:cs="Arial"/>
                <w:b w:val="0"/>
                <w:lang w:eastAsia="en-NZ"/>
              </w:rPr>
              <w:t>ii) To have documented evidence of the steps taken during resolution process.</w:t>
            </w:r>
          </w:p>
          <w:p w:rsidR="00EB7645" w:rsidRPr="00BE00C7" w:rsidP="00BE00C7">
            <w:pPr>
              <w:pStyle w:val="OutcomeDescription"/>
              <w:spacing w:before="120" w:after="120"/>
              <w:rPr>
                <w:rFonts w:cs="Arial"/>
                <w:b w:val="0"/>
                <w:lang w:eastAsia="en-NZ"/>
              </w:rPr>
            </w:pPr>
            <w:r w:rsidRPr="00BE00C7">
              <w:rPr>
                <w:rFonts w:cs="Arial"/>
                <w:b w:val="0"/>
                <w:lang w:eastAsia="en-NZ"/>
              </w:rPr>
              <w:t>iii) All complaints to have reviews documented.</w:t>
            </w:r>
          </w:p>
          <w:p w:rsidR="00EB7645" w:rsidRPr="00BE00C7" w:rsidP="00BE00C7">
            <w:pPr>
              <w:pStyle w:val="OutcomeDescription"/>
              <w:spacing w:before="120" w:after="120"/>
              <w:rPr>
                <w:rFonts w:cs="Arial"/>
                <w:b w:val="0"/>
                <w:lang w:eastAsia="en-NZ"/>
              </w:rPr>
            </w:pPr>
            <w:r w:rsidRPr="00BE00C7">
              <w:rPr>
                <w:rFonts w:cs="Arial"/>
                <w:b w:val="0"/>
                <w:lang w:eastAsia="en-NZ"/>
              </w:rPr>
              <w:t>iv) All complaints to have closing dates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items of clothing are going missing and the service is not able to track/find the missing items.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items of clothing are going missing and the service is not able to track/find the missing items.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to implement, test and monitor processes to ensure residents clothing is cared for in a safe and appropriate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families confirmed a lack of communication with service providers and incident and accident records do not consistently identify persons notified.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Family interviews confirmed a lack of communication with service providers.</w:t>
            </w:r>
          </w:p>
          <w:p w:rsidR="00EB7645" w:rsidRPr="00BE00C7" w:rsidP="00BE00C7">
            <w:pPr>
              <w:pStyle w:val="OutcomeDescription"/>
              <w:spacing w:before="120" w:after="120"/>
              <w:rPr>
                <w:rFonts w:cs="Arial"/>
                <w:b w:val="0"/>
                <w:lang w:eastAsia="en-NZ"/>
              </w:rPr>
            </w:pPr>
            <w:r w:rsidRPr="00BE00C7">
              <w:rPr>
                <w:rFonts w:cs="Arial"/>
                <w:b w:val="0"/>
                <w:lang w:eastAsia="en-NZ"/>
              </w:rPr>
              <w:t>ii) Incident and accident records do not consistently identify persons communicated with/notified.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To ensure full, frank and open disclosure relating to matters regarding residents, for example incidents, accidents and complaints that residents may have.</w:t>
            </w:r>
          </w:p>
          <w:p w:rsidR="00EB7645" w:rsidRPr="00BE00C7" w:rsidP="00BE00C7">
            <w:pPr>
              <w:pStyle w:val="OutcomeDescription"/>
              <w:spacing w:before="120" w:after="120"/>
              <w:rPr>
                <w:rFonts w:cs="Arial"/>
                <w:b w:val="0"/>
                <w:lang w:eastAsia="en-NZ"/>
              </w:rPr>
            </w:pPr>
            <w:r w:rsidRPr="00BE00C7">
              <w:rPr>
                <w:rFonts w:cs="Arial"/>
                <w:b w:val="0"/>
                <w:lang w:eastAsia="en-NZ"/>
              </w:rPr>
              <w:t>ii) Incident and accident records to reflect persons communicated with/notified.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meeting minutes are comprehensive enough to reflect the content and outcomes of the meeting.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meeting, infection control meetings and residents meetings minutes are lacking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to use templates provided by the organisation for recording meeting minutes to ensure core information is included.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for measuring achievements against the quality management plan. Incidents/accidents and internal audits are not consistently providing appropriate corrective actions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Follow-up actions do not consistently relate to the issue/problems.</w:t>
            </w:r>
          </w:p>
          <w:p w:rsidR="00EB7645" w:rsidRPr="00BE00C7" w:rsidP="00BE00C7">
            <w:pPr>
              <w:pStyle w:val="OutcomeDescription"/>
              <w:spacing w:before="120" w:after="120"/>
              <w:rPr>
                <w:rFonts w:cs="Arial"/>
                <w:b w:val="0"/>
                <w:lang w:eastAsia="en-NZ"/>
              </w:rPr>
            </w:pPr>
            <w:r w:rsidRPr="00BE00C7">
              <w:rPr>
                <w:rFonts w:cs="Arial"/>
                <w:b w:val="0"/>
                <w:lang w:eastAsia="en-NZ"/>
              </w:rPr>
              <w:t>ii) The person responsible for implementation of the corrective action is not consistently identified.</w:t>
            </w:r>
          </w:p>
          <w:p w:rsidR="00EB7645" w:rsidRPr="00BE00C7" w:rsidP="00BE00C7">
            <w:pPr>
              <w:pStyle w:val="OutcomeDescription"/>
              <w:spacing w:before="120" w:after="120"/>
              <w:rPr>
                <w:rFonts w:cs="Arial"/>
                <w:b w:val="0"/>
                <w:lang w:eastAsia="en-NZ"/>
              </w:rPr>
            </w:pPr>
            <w:r w:rsidRPr="00BE00C7">
              <w:rPr>
                <w:rFonts w:cs="Arial"/>
                <w:b w:val="0"/>
                <w:lang w:eastAsia="en-NZ"/>
              </w:rPr>
              <w:t>iii) Timeframes for implementing corrective actions is not consistently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Follow-up actions relating to incidents/accident and internal audits to relate to the identified problem. </w:t>
            </w:r>
          </w:p>
          <w:p w:rsidR="00EB7645" w:rsidRPr="00BE00C7" w:rsidP="00BE00C7">
            <w:pPr>
              <w:pStyle w:val="OutcomeDescription"/>
              <w:spacing w:before="120" w:after="120"/>
              <w:rPr>
                <w:rFonts w:cs="Arial"/>
                <w:b w:val="0"/>
                <w:lang w:eastAsia="en-NZ"/>
              </w:rPr>
            </w:pPr>
            <w:r w:rsidRPr="00BE00C7">
              <w:rPr>
                <w:rFonts w:cs="Arial"/>
                <w:b w:val="0"/>
                <w:lang w:eastAsia="en-NZ"/>
              </w:rPr>
              <w:t>ii) Incident/accident documentation and internal audits to identify and record the persons responsible for implementing the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iii) To identify and record appropriate timeframes for corrective actions.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make entries to the progress notes and other records of care. Not all entries in the residents’ daily record show evidence of the name or designation of the service provider.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Names and designations of registered nurses, health care assistants and diversional therapists are not consistently recorded in clinical files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designations to be consistently recorded in clinical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3.4.1</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a suitably qualified person who maintains their knowledge of current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ICN confirmed they provide education in IC for staff. The interview also confirmed they have not conducted any relevant IC education to their role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not completed relevant IC education specific to their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ICN has completed relevant IC education specific to their role.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Elmswood Rest Home</w:t>
    </w:r>
    <w:bookmarkEnd w:id="58"/>
    <w:r>
      <w:rPr>
        <w:rFonts w:cs="Arial"/>
        <w:sz w:val="16"/>
        <w:szCs w:val="20"/>
      </w:rPr>
      <w:tab/>
      <w:t xml:space="preserve">Date of Audit: </w:t>
    </w:r>
    <w:bookmarkStart w:id="59" w:name="AuditStartDate1"/>
    <w:r>
      <w:rPr>
        <w:rFonts w:cs="Arial"/>
        <w:sz w:val="16"/>
        <w:szCs w:val="20"/>
      </w:rPr>
      <w:t>8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