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Mary Shapley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 Shapley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March 2016</w:t>
      </w:r>
      <w:bookmarkEnd w:id="7"/>
      <w:r w:rsidRPr="009418D4">
        <w:rPr>
          <w:rFonts w:cs="Arial"/>
        </w:rPr>
        <w:tab/>
        <w:t xml:space="preserve">End date: </w:t>
      </w:r>
      <w:bookmarkStart w:id="8" w:name="AuditEndDate"/>
      <w:r w:rsidR="00A4268A">
        <w:rPr>
          <w:rFonts w:cs="Arial"/>
        </w:rPr>
        <w:t>11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Mary Shapley is part of the Bupa group. The service is certified to provide rest home and hospital level care for up to 78 residents. On the day of audit there were 77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general practitioner and staff.</w:t>
      </w:r>
    </w:p>
    <w:p w:rsidRPr="00A4268A">
      <w:pPr>
        <w:spacing w:before="240" w:line="276" w:lineRule="auto"/>
        <w:rPr>
          <w:rFonts w:eastAsia="Calibri"/>
        </w:rPr>
      </w:pPr>
      <w:r w:rsidRPr="00A4268A">
        <w:rPr>
          <w:rFonts w:eastAsia="Calibri"/>
        </w:rPr>
        <w:t>The service is managed by a care home manager and nurse manager.  The care home manager and clinical manager are well qualified for their roles.  They are supported by a regional operations manager, registered nurses and care staff.  The residents and family interviewed spoke positively about the care and support provided.</w:t>
      </w:r>
    </w:p>
    <w:p w:rsidRPr="00A4268A">
      <w:pPr>
        <w:spacing w:before="240" w:line="276" w:lineRule="auto"/>
        <w:rPr>
          <w:rFonts w:eastAsia="Calibri"/>
        </w:rPr>
      </w:pPr>
      <w:r w:rsidRPr="00A4268A">
        <w:rPr>
          <w:rFonts w:eastAsia="Calibri"/>
        </w:rPr>
        <w:t>The service has fully addressed one of four previous findings from the certification audit relating to documentation timeframes.</w:t>
      </w:r>
    </w:p>
    <w:p w:rsidRPr="00A4268A">
      <w:pPr>
        <w:spacing w:before="240" w:line="276" w:lineRule="auto"/>
        <w:rPr>
          <w:rFonts w:eastAsia="Calibri"/>
        </w:rPr>
      </w:pPr>
      <w:r w:rsidRPr="00A4268A">
        <w:rPr>
          <w:rFonts w:eastAsia="Calibri"/>
        </w:rPr>
        <w:t>The service has partially addressed two findings around wound care documentation/management and aspects of medication management.</w:t>
      </w:r>
    </w:p>
    <w:p w:rsidRPr="00A4268A">
      <w:pPr>
        <w:spacing w:before="240" w:line="276" w:lineRule="auto"/>
        <w:rPr>
          <w:rFonts w:eastAsia="Calibri"/>
        </w:rPr>
      </w:pPr>
      <w:r w:rsidRPr="00A4268A">
        <w:rPr>
          <w:rFonts w:eastAsia="Calibri"/>
        </w:rPr>
        <w:t xml:space="preserve">Further improvements continue to be required in relation to care planning interventions, monitoring charts and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Interviews with staff and review of documentation evidences that the service endeavours to ensure that care is provided in a way that focuses on the individual, values residents' quality of life and maintains their privacy and choice.   Residents and their family are provided with information on the complaints process on admission.  Complaints are being managed in a timely manner.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Mary Shapley is implementing the Bupa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Interviews with staff and review of meeting minutes/quality action forms/toolbox talks, demonstrate a culture of quality improvements.</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 three monthly reviews by the nurse practitioner or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An integrated activities programme is implemented for the rest home and hospital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preparation and cooking is undertaken on site.  All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four residents using restraint in the form of bedrails or lap belts and twelve residents with bedrails as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7"/>
        <w:gridCol w:w="1280"/>
        <w:gridCol w:w="98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 complaints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Six complaints were reviewed, (three from 2015 and three from 2016) all document evidence of appropriate and timely follow up with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with family members is recorded on the family communication record, which is held in each resident’s file and through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Twelve hospital level and nine rest home level accident/incident forms were reviewed (from February 2016).  All incidents/accidents reviewed identified family are kept informed.  Relatives interviewed stated that they are kept informed when their family member’s health status changes.  Resident files reviewed, all document family involvement when the resident’s condition changes and with care planning reviews.</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are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Shapley is a Bupa residential care facility.  The service currently provides care for up to 78 residents at hospital and rest home level care. Twenty-five beds are designated dual purpose swing beds in the hospital.  On the day of the audit there were 77 residents; 33 rest home (including three respite) and 44 hospital including three under YPD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Mary Shapley is part of the midlands Bupa region and the managers from this region meet quarterly to review and discuss the organisational goals and their progress towards these. The care home manager provides a weekly report to the Bupa operations manager.  The operations manager teleconferences monthly and completes a report to the director of care homes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sent to the Bupa quality and risk team on the progress and actions that have been taken to achieve the services quality goals.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Across Bupa, four benchmarking groups are established for rest home, hospital, dementia and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also in place.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2013 and was previously a nurse manager at another Bupa home.  The clinical manager has been in the role for eight months.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 Shapley has implemented the Bupa quality and risk management programme.  Interviews with the manager, clinical manager and staff reflect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a wide range of data such as; resident falls, infection rates, complaints received, restraint use, pressure areas, wounds and medication errors as examples. The outcomes of data collection are entered onto a central data base.  Where outcomes are outside the Bupa limits, an action plan has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was sighted for the service, with evidence of internal audits occurring as per the audit schedule. Corrective actions are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meeting minutes/quality action forms/toolbox talks,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A health and safety system is in place.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Twelve hospital level and nine rest home level accident/incident forms were reviewed (from February 2016).  These incident/accident forms were fully completed.  There was RN notification of the incident in a timely manner, follow up and action plans were completed for both the individual resident and for the service where needed.  Action plans were viewed for falls, absconding residents and skin tears.</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There are no high grade pressure injuries and no section 31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 staff files reviewed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and during this period they do not carry a clinical load.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and these were able to be linked to incidents and accidents and internal audit outcomes </w:t>
            </w:r>
          </w:p>
          <w:p w:rsidR="00EB7645" w:rsidRPr="00BE00C7" w:rsidP="00BE00C7">
            <w:pPr>
              <w:pStyle w:val="OutcomeDescription"/>
              <w:spacing w:before="120" w:after="120"/>
              <w:rPr>
                <w:rFonts w:cs="Arial"/>
                <w:b w:val="0"/>
                <w:lang w:eastAsia="en-NZ"/>
              </w:rPr>
            </w:pPr>
            <w:r w:rsidRPr="00BE00C7">
              <w:rPr>
                <w:rFonts w:cs="Arial"/>
                <w:b w:val="0"/>
                <w:lang w:eastAsia="en-NZ"/>
              </w:rPr>
              <w:t>At Mary Shapley, one RN has completed PDRP; eight RNs are currently working on their portfolio with the Bupa Nursing Council approved PDRP.  Seven RNs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BSLs/insulin admin, CD admin, moving &amp; handling, nebuliser, oxygen admin, PEG tube care/feeds, restraint, wound management, CPR and T34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is on-call after hours with other registered nurses.  The care home manager and clinical manager are available during weekdays.  Adequate RN cover is provided 24 hours a day, 7 days a week.  Sufficient numbers of caregivers support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checks all medications on delivery against the medication and any pharmacy errors recorded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responsible for the administering of medications with senior caregivers as second checker as needed.  All have completed annual medication competencies and annual medication education.  The standing orders have been approved by the GPs annually and meet the legislative requirements for standing orders.  There was one self-medicating rest home resident on the day of audit.  Self-medicating competency has been completed.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from both the rest home and hospital.  Photo identification and allergy status was on all charts.  All medication charts had been reviewed by the GP at least three monthly.  Eight of ten resident medication administration signing sheets corresponded with the medication chart.  Previous findings around medication charts, ‘as needed’ medication and ‘indications for use’ and timeframes have been addressed.  A shortfall was identified around the GP prescribing and signing for warfarin and nurse signing of controlled drug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Shapley continues to manage the kitchen service as per policy. The kitchen was observed to be clean and well organised. Bupa policies and procedures are in place including a kitchen manual.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that contains a walk-in pantry, freezer, walk-in chiller, air steam oven, bain marie, microwave, commercial oven and hot plates.  There is a preparation area and receiving area.  </w:t>
            </w:r>
          </w:p>
          <w:p w:rsidR="00EB7645" w:rsidRPr="00BE00C7" w:rsidP="00BE00C7">
            <w:pPr>
              <w:pStyle w:val="OutcomeDescription"/>
              <w:spacing w:before="120" w:after="120"/>
              <w:rPr>
                <w:rFonts w:cs="Arial"/>
                <w:b w:val="0"/>
                <w:lang w:eastAsia="en-NZ"/>
              </w:rPr>
            </w:pPr>
            <w:r w:rsidRPr="00BE00C7">
              <w:rPr>
                <w:rFonts w:cs="Arial"/>
                <w:b w:val="0"/>
                <w:lang w:eastAsia="en-NZ"/>
              </w:rPr>
              <w:t>Kitchen fridge, food and freezer temperatures are monitored and documented daily and daily in other areas.  Resident annual satisfaction survey includes food and there is also a post admission survey conducted after 6 weeks.  Nutrition and kitchen cleanliness audits are undertaken.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can be viewed only by kitchen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demonstrated service integration and input from allied health.  All resident care plans sampled were resident centred. Residents and family members interviewed confirm they are involved in the development and review of care plans.  Short-term care plans were in use for acute or short term change in health status and were evaluated on a regular basis and signed off as resolved or transferred to the long-term care plan. This is an improvement on the previous audit.  There was evidence of service integration with documented input from a range of specialist care. Shortfalls were evidenced around care plan interventions. This is a continued finding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GP evidenced that care provided is of a high standard and GPs are kept informed.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are in place for all wounds including pressure injuries and wound care plans include assessment and management plan and evaluations. Previous findings around pressure injuries and wound care documentation has been addressed.   A review of six files identified that appropriate monitoring was not always documented as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and an activities officer.  Both provide activities in the hospital and rest home.  There is also a documented programme of suggested activities that caregivers can initiate with residents and a resource cupboard available at all times.  On the day of audit, residents were observed being actively involved with a variety of activities.  The programme is developed monthly and displayed in large print.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networking within the community with social clubs, schools etc.  On or soon after admission a Map of Life is developed with the resident and family, which includes previous hobbies, community links, family and interests.  An individual activity plan is developed and incorporated into the ‘My Day My Way’ care plan and information from this is fed into the care plan. This is reviewed six monthly as part of the care plan review/evaluation.  A record is kept of individual resident’s activities.  There are recreational progress notes in the resident’s file that the diversional therapist completes for each resident every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have the opportunity to provide feedback on the activity programme through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InterRAI assessments have been utilised in conjunction with the six monthly reviews for evaluation.  Short-term care plans for short term needs were evaluated and either resolved or added to the long-term care plan as an ongoing problem.  The multidisciplinary review involves the RN, GP or NP, physiotherapist, activities staff and resident/family.  The family are notified of the outcome of the review if unable to attend.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that expires 10 June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the DHB laboratory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statistics are included for benchmarking.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internal audits, facility meetings, regional restraint meetings and at an organisational level.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four residents using restraint in the form of bedrails and/or lap belts and 11 residents with bedrails as an enabler belt. All enabler use is voluntary. Three resident files of enabler use were reviewed.  The enabler assessment form was completed and signed by the resident.  These had been evaluated at least three monthly.  Link to #1.3.5.2 around documenting risks and #1.3.6.1 around monitoring of restraint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27"/>
        <w:gridCol w:w="1280"/>
        <w:gridCol w:w="2484"/>
        <w:gridCol w:w="6676"/>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ten medication charts reviewed met legislative requirement.  These charts were easy to read and the GP’s instruction was clear.  Discontinued medications were dated and signed by the GP.  All ‘as required’ medications had an indication for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signing chart for a controlled drug medication  was signed at each administration, however the medication prescription chart stated 25 mcg, the controlled drug book recorded 25 mcg had been taken, but the signing chart identified 12.5 mcg was given.  (ii) Two resident’s taking warfarin were reviewed; one prescription was signed by the practice nurse and ‘pp’ the GP and one had only one dose signed for and staff had continued to give the same dose (the correct dose) with no prescription.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staff sign for the correct dosage of medication and (ii) warfarin is correctly prescribed and signed for by the prescriber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are processes and systems in place to manage respite and short term residents’ admissions.   Long-term care plans reviewed demonstrated service integration and input from allied health.  Shortfalls continue to be identified around care plan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admitted for short term care has been admitted for an extended period of time. There are no assessments or care plan interventions for management of behaviours that challenge. (ii) One resident with an enabler did not have this included in the care plan and three residents with bed rails did not have the risks associated with their use in the care plan. (iii)  One resident with an increased falls risk did not have this reflected into the care plan or an updated formal assessment for falls (link tracer).  (iv) One resident with increasing pain did not have this addressed in the care plan and it was not evidenced through medication chart review that pain had been addressed.  (v) One resident with a specific need for the positioning of fentanyl patches did not have this addressed in the care plan and it was not documented in the medication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have care plan interventions for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needs for residents are overall documented in the long-term or short-term care plans (link 1.3.5.2).  Discussion with caregivers evidences that they are aware of care and support needs.  Registered nurse and the cook were all able to describe the considerable interventions for a resident with weight loss.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monitoring of enablers and restraints was not consistently documented for three residents with a restraint or an enabler.  (ii)  One resident with an indwelling catheter did not have the urine output consistently monitored as directed by the care plan.  (iii) A referral to the GP was not undertaken as directed following a fall (link tracer). (iv) Turning charts were not consistently completed for two residents.  (v) One resident who was losing weight, had no weights documented for three months and no formal weight management plan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monitoring is documented as taking place as directed by the care plans.  Ensure that requests for GP review are followed up.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68"/>
        <w:gridCol w:w="1280"/>
        <w:gridCol w:w="4902"/>
        <w:gridCol w:w="6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Mary Shapley has fully implemented the Bupa quality system including the quality and risk management process.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 summaries and action plans are completed as required depending on the result of the audit. Key issues are documented as discussed at meetings (e.g., quality, staff) and an action plan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Quality action forms are utilised and documents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number of ongoing quality improvements identified through meeting minutes and as a result of analysis of quality data collected. The service is proactive in developing and implementing quality initiatives.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maintain continued improvement processes around quality goals and evaluations. The organisational and quality goals are reviewed regularly at the site and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proactive with documenting and implementing action plans where the service quality outcomes are outside their set KPI and this process ensures that resident outcomes are improving.</w:t>
            </w:r>
          </w:p>
          <w:p w:rsidR="00EB7645" w:rsidRPr="00BE00C7" w:rsidP="00BE00C7">
            <w:pPr>
              <w:pStyle w:val="OutcomeDescription"/>
              <w:spacing w:before="120" w:after="120"/>
              <w:rPr>
                <w:rFonts w:cs="Arial"/>
                <w:b w:val="0"/>
                <w:lang w:eastAsia="en-NZ"/>
              </w:rPr>
            </w:pPr>
            <w:r w:rsidRPr="00BE00C7">
              <w:rPr>
                <w:rFonts w:cs="Arial"/>
                <w:b w:val="0"/>
                <w:lang w:eastAsia="en-NZ"/>
              </w:rPr>
              <w:t>An example includes; Falls in October 2015 were noted to be 19.  An action plan was put in place and implemented.  There is evidence to show that additional training was undertaken,  an in-depth falls analysis was undertaken that included times and place of falls  and  additional toileting was implemented for residents.  This has had the result of reducing falls to nine in January 2016.  Meetings demonstrate that falls have been a high focus for the team.</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Mary Shapley Rest Home &amp; Hospital</w:t>
    </w:r>
    <w:bookmarkEnd w:id="58"/>
    <w:r>
      <w:rPr>
        <w:rFonts w:cs="Arial"/>
        <w:sz w:val="16"/>
        <w:szCs w:val="20"/>
      </w:rPr>
      <w:tab/>
      <w:t xml:space="preserve">Date of Audit: </w:t>
    </w:r>
    <w:bookmarkStart w:id="59" w:name="AuditStartDate1"/>
    <w:r>
      <w:rPr>
        <w:rFonts w:cs="Arial"/>
        <w:sz w:val="16"/>
        <w:szCs w:val="20"/>
      </w:rPr>
      <w:t>10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