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Maples Lifecare (2005)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Maples Lifecare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Maples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March 2016</w:t>
      </w:r>
      <w:bookmarkEnd w:id="7"/>
      <w:r w:rsidRPr="009418D4">
        <w:rPr>
          <w:rFonts w:cs="Arial"/>
        </w:rPr>
        <w:tab/>
        <w:t xml:space="preserve">End date: </w:t>
      </w:r>
      <w:bookmarkStart w:id="8" w:name="AuditEndDate"/>
      <w:r w:rsidR="00A4268A">
        <w:rPr>
          <w:rFonts w:cs="Arial"/>
        </w:rPr>
        <w:t>2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Maples Lifecare is one of 22 facilities owned by the Arvida group.  The manager has been in the role under the new ownership since December 2014, having previously been one of two owner/managers of Maples Lifecare.  The manager (registered nurse) is supported by a full time clinical charge nurse, registered nurses and care staff.  The service provides rest home level care for up to 78 residents across a 53 bed rest home area (one double room) and 25 serviced apartments.  On the days of audit there were 48 residents in the rest home including two respite residents, and 10 rest home level residents in the serviced apartments. </w:t>
      </w:r>
    </w:p>
    <w:p w:rsidRPr="00A4268A">
      <w:pPr>
        <w:spacing w:before="240" w:line="276" w:lineRule="auto"/>
        <w:rPr>
          <w:rFonts w:eastAsia="Calibri"/>
        </w:rPr>
      </w:pPr>
      <w:r w:rsidRPr="00A4268A">
        <w:rPr>
          <w:rFonts w:eastAsia="Calibri"/>
        </w:rPr>
        <w:t>This surveillance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Residents and families interviewed commented positively on the care and services provided to residents at Maples Lifecare. </w:t>
      </w:r>
    </w:p>
    <w:p w:rsidRPr="00A4268A">
      <w:pPr>
        <w:spacing w:before="240" w:line="276" w:lineRule="auto"/>
        <w:rPr>
          <w:rFonts w:eastAsia="Calibri"/>
        </w:rPr>
      </w:pPr>
      <w:r w:rsidRPr="00A4268A">
        <w:rPr>
          <w:rFonts w:eastAsia="Calibri"/>
        </w:rPr>
        <w:t>The service has addressed nine of 10 findings identified at the previous certification audit around admission agreements and informed consent, education for staff, care plan interventions, medication documentation, competencies and self-medicating residents and calibration of medical equipment.  Further improvements are required in relation to care planning.</w:t>
      </w:r>
    </w:p>
    <w:p w:rsidRPr="00A4268A">
      <w:pPr>
        <w:spacing w:before="240" w:line="276" w:lineRule="auto"/>
        <w:rPr>
          <w:rFonts w:eastAsia="Calibri"/>
        </w:rPr>
      </w:pPr>
      <w:r w:rsidRPr="00A4268A">
        <w:rPr>
          <w:rFonts w:eastAsia="Calibri"/>
        </w:rPr>
        <w:t>This surveillance audit identified no further improvements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Care plans accommodate the choices of residents and/or their family.  Open disclosure is practiced and families are informed appropriately.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Maples Lifecare is implementing a quality and risk management system that supports the provision of clinical care.  Quality activities are conducted.  Adverse events are managed with clinical follow up provided.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sample of residents’ records reviewed provides evidence that the provider has implemented systems to assess, plan and evaluate care needs of the residents.  Care plans demonstrate service integration.  Resident files include notes by the GP and allied health professionals.  Medication policies and procedures are in place to guide practice and these are fully implemented.  The activities programme is facilitated by an activities co-ordinator and two activity assistants.  The activities programme provides varied options and activities are enjoyed by the residents.  The programme caters for the individual needs.  Community activities are encouraged; van outings are arranged on a regular and resident rotational basis.</w:t>
      </w:r>
    </w:p>
    <w:p w:rsidRPr="00A4268A" w:rsidP="00621629">
      <w:pPr>
        <w:spacing w:before="240" w:line="276" w:lineRule="auto"/>
        <w:rPr>
          <w:rFonts w:eastAsia="Calibri"/>
        </w:rPr>
      </w:pPr>
      <w:r w:rsidRPr="00A4268A">
        <w:rPr>
          <w:rFonts w:eastAsia="Calibri"/>
        </w:rPr>
        <w:t>All food is cooked on site by the in-house cook.  All residents' nutritional needs are identified, documented and choices are available and provided.  Meals are well presented.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is a documented definition of restraint and enablers that aligns with the definition in the standards.  There is a restraint register and a register for enablers.  There are no residents with restraint or enablers.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6"/>
        <w:gridCol w:w="1280"/>
        <w:gridCol w:w="104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five resident files reviewed.  Advised by staff that family involvement occurs with the consent of the resident.  Residents and family interviewed confirmed that information was provided to enable informed choices and that they were able to decline or withdraw their consent.  Resident admission agreements were signed.  The service has addressed these previous audit findings.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concerns/complaints.  Complaints forms are visible and available for relatives/residents.  A complaints procedure is provided to residents within the information pack at entry.  The service has managed complaints received in 2015 with follow up, investigation and outcomes communicated to the complainants.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manager and clinical charge nurse confirm that family are kept informed.  Relatives stated they are notified promptly of any incidents/accidents.  Resident meetings encourage open discussion around the services provided (meeting minutes sighted).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provides care for up to 78 rest home residents within a 53 bed rest home area and 25 serviced apartments.  On the day of audit there were 58 rest home residents which included 48 rest home area residents and 10 rest home residents in the serviced apartments.  There were two respite residents and one resident under the age of 65.  All residents were on age related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The service has quality goals which are reviewed at the quality management meetings.  The Arvida group purchased Maples rest home in December 2014.  The manager was the previous owner/manager of the service.  The nurse manager is a registered nurse and is supported by another manager, the clinical charge nurse,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is implementing a quality and risk management system.  The manager oversees the quality programme.  The quality programme includes goals for 2016.  The previous year’s plan has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Assessment policies have been updated to include reference to the use of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 minutes sighted evidence discussion around accident/incident data, health and safety, infection control, audit outcomes, concerns and survey feedback.  The service collates accident/incident and infection control data.  Monthly comparisons, trends and graphs are displayed for staff information.  The care staff interviewed were aware of quality data results,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conducted with positive results achieved for 2015.  Results have been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 summary of internal audit outcomes is provided to staff.  Corrective actions have been developed and implemented for all shortfalls in service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accident/incident forms for January 2016 was reviewed.  There has been RN notification and clinical assessment completed within a timely manner.  Accidents/incidents were also recorded in the resident progress notes.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quality and risk meeting and the staff meeting.  Staff interviewed confirm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contained all relevant employment documentation and included a registered nurse, three caregivers and the activities coordinator.  Current practising certificate was sighted for all registered nurses and allied health professionals.  The service has an orientation programme in place that provides new staff with relevant information for safe work practice.  Staff interviewed believed new staff were adequately orientated to the service on employment.  Employment documentation was evident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for 2016. 2015 in-service training included over 8 hours of training. The clinical charge nurse has completed the interRAI training.  Staff complete competencies relevant to their role.  Educational requirements have been provided over the past two years including wound care and pain management.  Attendance at education sessions has improved.  Records of attendance are maintained.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manager and clinical charge nurse are on-site full time and available after hours.  The three part time registered nurses are rostered on to cover the morning shift from Monday to Sunday.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has comprehensive medication policies in place.  Medication storage and administration follow safe guidelines.  Medication reconciliation is completed on admission and the policy includes guidelines on checking medications on admission.  Registered nurse and senior caregiver medication competencies have been completed annually.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Of the 10 medication charts sampled, all had photographic identification and included route of administration, which is an improvement on previous audit.  Signing on administration was up to date, including as required medications (PRN).  All PRN medications had indication for use identified on the medication chart.  The RN administering medications was witnessed signing for resident medication given.  This was a previous audit finding has now been addressed.  There were no residents self-medicating.  Identification of resident allergies is documented on all ten medication charts reviewed.  Nine of ten medication charts reviewed had written evidence of the GP three monthly reviews, or more as conditions changed; one was a recent admission.  All medication charts had been signed and dated.  All packaged medications prescribed to be administered regularly were signed as being administered regularly.  Weekly medication checks were documented; this is an improvement from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have been audited and approved by a dietitian.  The service employs two cooks and kitchen assistants.  Fridge and freezer temperatures are monitored and documented daily in the kitchen.  All food containers are labelled in the kitchen.  Meals are prepared in the kitchen and delivered to the dining room.</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 monthly as part of the care plan review and communicated to the kitchen.  Changes to residents’ dietary needs are communicated to the kitchen as reported by the kitchen manager.  Special diets are noted on the kitchen notice board which is able to be viewed only by kitchen staff.  Special diets are catered for.  Residents’ interviewed stated that the food service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or more as condition changes.  Long term care plan reviews had been completed six monthly or as condition changed.  InterRAI assessment has been completed for two permanent residents.  One of five files was for a resident under 65 under Lifelinks and one resident was on respite care.  Assessments and documentation is 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format is comprehensive and policies and procedures are in place to guide staff.  Interventions are not fully documented for all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findings around the signing and dating of care plans by registered nurses; care plan interventions for respite residents; and privacy for residents have all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findings around weight monitoring and documented interventions and challenging behaviour monitoring and interventions remain findings at this audit.  This audit also evidences gaps around falls prevention management, care plan interventions and wound care plans.  </w:t>
            </w:r>
          </w:p>
          <w:p w:rsidR="00EB7645" w:rsidRPr="00BE00C7" w:rsidP="00BE00C7">
            <w:pPr>
              <w:pStyle w:val="OutcomeDescription"/>
              <w:spacing w:before="120" w:after="120"/>
              <w:rPr>
                <w:rFonts w:cs="Arial"/>
                <w:b w:val="0"/>
                <w:lang w:eastAsia="en-NZ"/>
              </w:rPr>
            </w:pPr>
            <w:r w:rsidRPr="00BE00C7">
              <w:rPr>
                <w:rFonts w:cs="Arial"/>
                <w:b w:val="0"/>
                <w:lang w:eastAsia="en-NZ"/>
              </w:rPr>
              <w:t>GP reviews are documented three monthly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nurses initiate a review and if required a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that they have all the equipment referred to in care plans and necessary to provide care.  All staff report that there are always adequate continence supplies and dressing supplies.  Residents and families interviewed were complimentary of care received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is consistent with the needs of residents; this is evidenced by discussions with caregivers, families interviewed, two registered nurses and the clinical manager.  There are short-term care plans that are used for acute or short-term changes in health status.  Long term care plan documentation was not fully completed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 is stocked for use.  All wound charts identified frequency of treatment and evaluations, which is an improvement on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who is contracted to work four days a week (Monday to Thursday, 0900 – 1700 hours).  There is also an activity assistant, who works four days a week (Tuesday to Friday, 0930 – 1630 hours).</w:t>
            </w:r>
          </w:p>
          <w:p w:rsidR="00EB7645" w:rsidRPr="00BE00C7" w:rsidP="00BE00C7">
            <w:pPr>
              <w:pStyle w:val="OutcomeDescription"/>
              <w:spacing w:before="120" w:after="120"/>
              <w:rPr>
                <w:rFonts w:cs="Arial"/>
                <w:b w:val="0"/>
                <w:lang w:eastAsia="en-NZ"/>
              </w:rPr>
            </w:pPr>
            <w:r w:rsidRPr="00BE00C7">
              <w:rPr>
                <w:rFonts w:cs="Arial"/>
                <w:b w:val="0"/>
                <w:lang w:eastAsia="en-NZ"/>
              </w:rPr>
              <w:t>There is a full and varied activities programme in place, which is appropriate to the level of participation from residents’.  On the day of audit residents were observed being actively involved with a variety of activities.  There is a regular, twice daily exercise programme and intergenerational activities with the local preschool.  There is close documented involvement with the physiotherapist around individualised exercise programmes.  The activity assistant is also the physio assistant.  A number of volunteers assist delivering different parts of the activity programme.  The activities programme is developed monthly, which is displayed in large print in communal areas and resident bedrooms.  There are regular van outings and there is a roster, so all residents have an opportunity to go out.  All residents and families interviewed voiced their satisfaction for the activities programme and felt that recreational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assessment completed over the first few weeks.  Resident files reviewed identified that the individual activity plan is reviewed six monthly, or as condition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evaluation of care plans by an RN is conducted at least six monthly, or as changes to care occur.  All initial care plans are evaluated by the RN within three weeks of admission.  There is documentation evidence of family and/or resident involvement at these evaluations.  Documentation on clinical notes evidence review by the GP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A sample of residents’ files short-term care plans identified clear interventions directing staff in resident care.  There are short-term care plans to focus on acute and short-term issues.  From the sample group of residents' notes, the short-term care plans are generally well used and comprehensive.  Examples of short-term care plan use included; infections, wounds and weight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1 July 2016.  Medical equipment including the blood pressure machines, thermometer and chair scales have been calibrated in August 2015.  The service does not have a hoist.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for each area based on signs and symptoms of infection.  Short-term care plans are used.  Surveillance of all infections is entered on to a monthly infection summary.  This data is monitored and evaluated monthly and annually.  Outcomes and actions are discussed at all meetings.  If there is an emergent issue, it is acted upon in a timely manner.  Reports are easily accessible to the nurse manager and clinical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Enabler use is voluntary.  There are no residents with restraint or enablers.  Staff interviews and staff records evidence guidance has been given on restraint minimisation and safe practice (RMSP), enabler usage and prevention and/or de-escalation techniques.  Restraint has been discussed as part of quality meetings.  The clinical charge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3066"/>
        <w:gridCol w:w="5072"/>
        <w:gridCol w:w="32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 long term care plans were reviewed; all had been individually developed with the resident and family/EPOA who signed to acknowledge their approval of the care plan.  Residents and family members interviewed agreed that they are involved in the care planning process.  Nursing diagnosis, goals and outcomes are identified and agreed and how care is to be delivered is explained in most.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four care plans reviewed, the following shortfalls were identified:  (i)  Two did not have falls prevention strategies well documented ; (ii)  One resident care plan did not identify care interventions for management of showering (even though, there was a documented need for assistance); (iii) Management of behaviour including wandering was not well documented in one care plan;  (iv)  Care plan interventions for documented weight loss was not documented for one resident;  (v)  One care plan continued to document a resident was self-medicating, however, this was no longer the case. (vi) The wound care plan for one resident has two wounds documented on 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care plan interventions are documented to guide staff in the provision of resident care and support including: (i) falls prevention strategies, (ii) hygiene care, (iii) management of behaviours that challenge, (vi) management of weight loss, (v) update with change of interventions around self-administering medications, and (vi) ensuring there are separate wound assessments and management plans for each wound.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Maples Lifecare (2005) Limited</w:t>
    </w:r>
    <w:bookmarkEnd w:id="58"/>
    <w:r>
      <w:rPr>
        <w:rFonts w:cs="Arial"/>
        <w:sz w:val="16"/>
        <w:szCs w:val="20"/>
      </w:rPr>
      <w:tab/>
      <w:t xml:space="preserve">Date of Audit: </w:t>
    </w:r>
    <w:bookmarkStart w:id="59" w:name="AuditStartDate1"/>
    <w:r>
      <w:rPr>
        <w:rFonts w:cs="Arial"/>
        <w:sz w:val="16"/>
        <w:szCs w:val="20"/>
      </w:rPr>
      <w:t>2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