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Whitianga Continuing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Whitianga Continuing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February 2016</w:t>
      </w:r>
      <w:bookmarkEnd w:id="7"/>
      <w:r w:rsidRPr="009418D4">
        <w:rPr>
          <w:rFonts w:cs="Arial"/>
        </w:rPr>
        <w:tab/>
        <w:t xml:space="preserve">End date: </w:t>
      </w:r>
      <w:bookmarkStart w:id="8" w:name="AuditEndDate"/>
      <w:r w:rsidR="00A4268A">
        <w:rPr>
          <w:rFonts w:cs="Arial"/>
        </w:rPr>
        <w:t>24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Increase in capacity of one room from 17 to 18 rest home rooms and increasing total capacity from 53 to 54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Whitianga Continuing Care (Oceania Care Company Limited) can provide care for up to 54 residents. This certification audit was conducted against the Health and Disability Service Standards and the service contract with the district health board. The audit confirmed the use of an additional room for a resident requiring rest home level care. The service also has residents requiring care under short-term contracts.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clinical manager and regional and executive management team. Service delivery is monitored.</w:t>
      </w:r>
    </w:p>
    <w:p w:rsidRPr="00A4268A">
      <w:pPr>
        <w:spacing w:before="240" w:line="276" w:lineRule="auto"/>
        <w:rPr>
          <w:rFonts w:eastAsia="Calibri"/>
        </w:rPr>
      </w:pPr>
      <w:r w:rsidRPr="00A4268A">
        <w:rPr>
          <w:rFonts w:eastAsia="Calibri"/>
        </w:rPr>
        <w:t xml:space="preserve">Improvements are required to the quality programme and monitoring of cleaning products.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Code), the complaints process and the Nationwide Health and Disability Advocacy Service, is accessible. This information is brought to the attention of residents and their families on entry to the service and when requested. Residents and family members confirm their rights are met, staff are respectful of their needs and communication is appropriate. </w:t>
      </w:r>
    </w:p>
    <w:p w:rsidRPr="00A4268A">
      <w:pPr>
        <w:spacing w:before="240" w:line="276" w:lineRule="auto"/>
        <w:rPr>
          <w:rFonts w:eastAsia="Calibri"/>
        </w:rPr>
      </w:pPr>
      <w:r w:rsidRPr="00A4268A">
        <w:rPr>
          <w:rFonts w:eastAsia="Calibri"/>
        </w:rPr>
        <w:t xml:space="preserve">Consent forms are provided and residents and family are given relevant information that enables them to give informed consent. </w:t>
      </w:r>
    </w:p>
    <w:p w:rsidRPr="00A4268A">
      <w:pPr>
        <w:spacing w:before="240" w:line="276" w:lineRule="auto"/>
        <w:rPr>
          <w:rFonts w:eastAsia="Calibri"/>
        </w:rPr>
      </w:pPr>
      <w:r w:rsidRPr="00A4268A">
        <w:rPr>
          <w:rFonts w:eastAsia="Calibri"/>
        </w:rPr>
        <w:t xml:space="preserve">The business and care manager is responsible for management of complaints and a complaints register is maintained. The complaints recorded on the register are managed according to the specified timeframes.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Care Company Limited has a documented quality and risk management system that supports the provision of clinical care and support at the service. Policies are reviewed at head office and quality and risk performance is reported through meetings at the facility. Policies are monitored by the organisation's management team through the business status and clinical indicator reports. There is a management system to manage residents’ records with a document control process in place. </w:t>
      </w:r>
    </w:p>
    <w:p w:rsidRPr="00A4268A">
      <w:pPr>
        <w:spacing w:before="240" w:line="276" w:lineRule="auto"/>
        <w:rPr>
          <w:rFonts w:eastAsia="Calibri"/>
        </w:rPr>
      </w:pPr>
      <w:r w:rsidRPr="00A4268A">
        <w:rPr>
          <w:rFonts w:eastAsia="Calibri"/>
        </w:rPr>
        <w:t xml:space="preserve">There are human resource policies implemented around recruitment, selection, orientation and staff training and development. Staff, residents and family confirm that staffing levels are adequate and residents and relatives have access to staff when needed. Staff are allocated to support residents as per their individual needs. </w:t>
      </w:r>
    </w:p>
    <w:p w:rsidRPr="00A4268A">
      <w:pPr>
        <w:spacing w:before="240" w:line="276" w:lineRule="auto"/>
        <w:rPr>
          <w:rFonts w:eastAsia="Calibri"/>
        </w:rPr>
      </w:pPr>
      <w:r w:rsidRPr="00A4268A">
        <w:rPr>
          <w:rFonts w:eastAsia="Calibri"/>
        </w:rPr>
        <w:t xml:space="preserve">An improvement is required to documentation that corrective actions are resolved.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into the service is facilitated in a competent, timely and respectful manner. The initial care plan is utilised as a guide for all staff while the long term care plan is developed over the first three weeks of resident’s admission. Care plans reviewed are individualised and risk assessments completed. Residents’ response to treatment is evaluated and documented. Relatives are notified regarding changes in a resident’s health condition. </w:t>
      </w:r>
    </w:p>
    <w:p w:rsidRPr="00A4268A" w:rsidP="00621629">
      <w:pPr>
        <w:spacing w:before="240" w:line="276" w:lineRule="auto"/>
        <w:rPr>
          <w:rFonts w:eastAsia="Calibri"/>
        </w:rPr>
      </w:pPr>
      <w:r w:rsidRPr="00A4268A">
        <w:rPr>
          <w:rFonts w:eastAsia="Calibri"/>
        </w:rPr>
        <w:t>Activities are appropriate to the age, needs and culture of the residents and support their interests and strengths. The residents and families interviewed express satisfaction with the activities provided.</w:t>
      </w:r>
    </w:p>
    <w:p w:rsidRPr="00A4268A" w:rsidP="00621629">
      <w:pPr>
        <w:spacing w:before="240" w:line="276" w:lineRule="auto"/>
        <w:rPr>
          <w:rFonts w:eastAsia="Calibri"/>
        </w:rPr>
      </w:pPr>
      <w:r w:rsidRPr="00A4268A">
        <w:rPr>
          <w:rFonts w:eastAsia="Calibri"/>
        </w:rPr>
        <w:t xml:space="preserve">Medicine management policies and procedures are documented and residents receive medicines in a timely manner. The medication management processes and practices are in line with legislation and contractual requirements. The general practitioner completes regular and timely medical reviews of residents and medicines. Medication competencies are completed annually for all staff that administer medications. </w:t>
      </w:r>
    </w:p>
    <w:p w:rsidRPr="00A4268A" w:rsidP="00621629">
      <w:pPr>
        <w:spacing w:before="240" w:line="276" w:lineRule="auto"/>
        <w:rPr>
          <w:rFonts w:eastAsia="Calibri"/>
        </w:rPr>
      </w:pPr>
      <w:r w:rsidRPr="00A4268A">
        <w:rPr>
          <w:rFonts w:eastAsia="Calibri"/>
        </w:rPr>
        <w:t>The facility utilises four weekly rotating summer and winter menus that are reviewed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in place and New Zealand Fire Service evacuation scheme is approved. A preventative and reactive maintenance programme includes equipment and electrical checks. Fixtures, fittings and floor and wall surfaces are made of accepted materials for this environment.</w:t>
      </w:r>
    </w:p>
    <w:p w:rsidRPr="00A4268A">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in a timely manner. </w:t>
      </w:r>
    </w:p>
    <w:p w:rsidRPr="00A4268A">
      <w:pPr>
        <w:spacing w:before="240" w:line="276" w:lineRule="auto"/>
        <w:rPr>
          <w:rFonts w:eastAsia="Calibri"/>
        </w:rPr>
      </w:pPr>
      <w:r w:rsidRPr="00A4268A">
        <w:rPr>
          <w:rFonts w:eastAsia="Calibri"/>
        </w:rPr>
        <w:t xml:space="preserve">An improvement is required to monitor storage and labelling of chemicals.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minimisation programme defines the use of restraints and enablers. The restraint register is current. During the on-site audit the service used two enablers and one restraint. </w:t>
      </w:r>
    </w:p>
    <w:p w:rsidRPr="00A4268A">
      <w:pPr>
        <w:spacing w:before="240" w:line="276" w:lineRule="auto"/>
        <w:rPr>
          <w:rFonts w:eastAsia="Calibri"/>
        </w:rPr>
      </w:pPr>
      <w:r w:rsidRPr="00A4268A">
        <w:rPr>
          <w:rFonts w:eastAsia="Calibri"/>
        </w:rPr>
        <w:t>Policies and procedures comply with the standard for restraint minimisation and safe practice. Assessment, documentation and monitoring, care planning and reviews are recorded and implemented, and restraint risks are identified. Residents using restraint had no restraint-related injuries. Staff members receive adequate training regarding the management of challenging behaviour and restraint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reviewed annually for its continuing effectiveness and appropriateness. Staff education in infection prevention and control is conducted according to the education and training programme and recorded in staff files. Staff complete monthly surveillance of all infections and collate the information as part of their quality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79"/>
        <w:gridCol w:w="1280"/>
        <w:gridCol w:w="84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that they receive services that meet their cultural needs, receive information relative to their needs and that staff respect their wishes. Staff are able to explain rights for residents in a way that promotes choice. The posters identifying residents’ rights are displayed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(HDC) Code of Health and Disability Services Consumers' Rights (the Code) during their induction to the service and through the annual mandatory education programme. All staff have had training in 2015. Interviews with staff confirm their understanding of the Code. Examples were provided on ways the Code is implemented in their everyday practice, including: maintaining residents' privacy; encouraging independence and ensuring residents could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auditors noted respectful attitudes towards residents on the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gathering of informed consent. Staff ensure that all residents are aware of treatment and interventions planned for them, and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identified that informed consent is collected and recorded. Interviews with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registered nurse or the clinical manager discusses informed consent processes with residents and their families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and procedure includes guidelines for consent for resuscitation/advance directives. Advanced directives in files reviewed are signed by residents deemed competent to complete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information on the role of advocacy services is provided to complainants at the time when their complaint is being acknowledged. Resident information around advocacy services is available at the entrance to the service and in information packs provided to residents and family on admission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is included in training on the Code and this was last provided for staff in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advocate visits the service at least twice during the year as confirmed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identified that the service provides opportunities for the family/enduring power of attorney (EPOA) to be involved in decisions and they state that they have been informed about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facility is secured in the evenings and visitors can arrange to visit after doors are locked. Families interviewed confirm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to maintain family and friends networks. Residents' files reviewed demonstrate that progress notes and the content of care plans include regular outings and appointments with a van able to take residents into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and encouraged to continue with social engagements in the community. Two younger residents have specific plans to enhance their engagement in the community. Residents entering the service under short term contracts are encouraged to regain independence and are supported using a rehabilitation model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Code and include periods for responding to a complaint. Complaint forms are available at the entrance. A complaints register is in place and the register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Evidence relating to each lodged complaint is held in the complaint’s folder. Two complaints in 2015 reviewed, indicate that the complaints are investigated promptly with the issues resolved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responsible for managing complaints and residents and family state that these are dealt with as soon as they are identified. Residents and family members state that they have laid complaints in the past with the management team and they feel that they are listened to with issues resolved. All residents and family interviewed confirm that the new business and care manager has actively encouraged them to express any concerns with an open door to access the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complaint lodged with the Health and Disability Commission in 2014 and a letter from the Health and Disability Commissioner in 2015 states that no further actions are required. There are no complaints with any other external authorities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clinical manager or a registered nurse discusses the Code, including the complaints process with residents and their family on admission. Discussions relating to the Code can also be held at the residents meetings, as sighted in the 2015 meeting minutes reviewed. </w:t>
              <w:tab/>
              <w:tab/>
              <w:tab/>
              <w:tab/>
              <w:tab/>
              <w:t xml:space="preserve">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includes information around rights and this can be produced in a bigger font, if required. Information is given to next of kin or enduring power of attorney (EPOA) to read to and discuss with the resident in private. Residents and family members are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room has a handbook which informs residents and families of aspects of care and this includes information around rights and advocacy services. Residents on short-term contracts are verbally informed of their rights and the ability to complain. Residents under a short-term contract are given an agreement that includes a flow chart around the complaints process. The orientation checklist for residents using short-term care includes staff documenting that residents have been informed of their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service has policies and procedures that are aligned with the requirements of the Privacy Act and Health Information Privacy Code. Residents’ support needs are assessed using a holistic approach. The initial and on-going assessments gain details of peoples’ beliefs and values with care plans completed with the resident and family member. 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each resident has the right to privacy and dignity. The residents’ own personal belongings are used to decorate their rooms. Discussions of a private nature are held in the resident’s room and there are areas in the facility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report that they knock on bedroom doors prior to entering rooms, ensure doors are shut when cares are being given and do not hold personal discussions in public areas – observed on the days of the audit. Residents and families confirm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the prevention and detection of abuse and neglect by ensuring provision of quality care. Staff receive annual training on abuse and neglect and can describe signs. There are no documented incidents of abuse or neglect in the business status reports for 2015 or on the incidents reviewed in residents’ files. Residents, staff, family and the general practitioner confirm that there is no evidence of abuse or neglect. The general practitioner confirmed satisfaction with the standard of care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aware of the need for them to ensure residents are not exploited, neglected or abused and staff can describe the process for escalating any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and/or spiritual values and individual preferences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cultural responsiveness policy which outlines the processes for working with people from other cultures. Specifically, a Māori health policy outlines how to work with Māori and the relevance of the Treaty of Waitangi. The rights of the residents/family to practise their own beliefs are acknowledged in the Māori health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who identify as Māori are able to provide support for Māori residents and their families if needed. Staff report that specific cultural needs are identified in the residents’ care plans. The business and care manager stated that the service can access a kaumātua for the service, if required. This may be to support the service around tikanga protocols or general advice.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importance of whānau in the delivery of care for the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achieved with the resident, family and/or their representative. There is a culture of choice with the residents determining when cares occur, times for meals and choices in meals and activities. Staff work to balance service delivery, duty of care and resident choice.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involved in the assessment and the care planning processes as confirmed by residents and family interviewed. Information gathered during assessment includes the resident’s cultural values and beliefs. This information is used to develop a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familiar with how translating and interpreting services can be accessed. Family supported a resident who required interpreting services on audit days. Staff are also able to access interpreting services through the district health board. There are staff from the Pacific Islands and Asia who can support residents who require cultural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policies and processes to ensure staff are aware of good practice and boundaries relating to discrimination, abuse and neglect, harassment and exploitation. Mandatory training includes discussion of the staff code of conduct and prevention of inappropriate care. Staff interviewed state that they are aware of the policies and are active in identifying any issues that relate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 that they would formally complain to management if they felt that they were discriminated against. There were no complaints recorded in the complaints register for the previous 12 months relating to any form of discrimination or exploitation.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ethics; advocacy and legal issues, with a job description sighted in staff files reviewed relevant to the role held by the staff member. The orientation and employee agreement provided to staff on induction include standards of conduct. Interviews with staff confirm their understanding of professional boundaries, including the boundaries of the health care assistants’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Whitianga Continuing Care implements Oceania policies to guide practice. These policies align with the health and disability services standards and are reviewed bi-annually. Benchmarking occurs across all the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programme for all staff and managers are encouraged to complete management training. There are monthly regional management meetings with the managers interviewed confirming that they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expressed a high level of satisfaction with the care delivered.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is available through the organisation’s management team that includes: registered nurses; the clinical and quality manager; regional manager and a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as evidenced in completed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contact is recorded in residents’ files. Interviews with family members confirm they are kept informed. Family also confirm that they are invited to the care planning meetings for their family member and could attend the resident meetings. Family members and residents who attend the resident meetings confirm that they are useful forums to raise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sign an admission agreement on entry to the service. Those reviewed are signed on the day of admission. The admission agreement provides clear information around what is paid for by the service and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under short-term contracts sign an agreement and this identifies: funding source; charges; services to be provided by Oceania at Oceania’s cost and terms and condition. Residents under short-term contracts are verbally informed of services provided and expectations. A resident interviewed under a short-term contract confirmed knowledge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admitted under the age care contract are given an information pack and a handbook with staff also confirming that they verbally inform the resident of services available and rights.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or clinical manager documents in the care plan that the resident is included in the care planning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Whitianga Continuing Care is part of the Oceania Care Company Limited with the executive management team including: the chief executive; general manager; regional manager; operations manager and clinical and quality manager providing support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Communication between the service and the managers takes place on at least a monthly basis. The clinical and quality manager provided support during the audit. The monthly business status report provides the executive management team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 mission, values and goals. These are communicated to residents, staff and family through posters on the wall, information in booklets and in staff training provided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transitional care policy and process guidelines that includes the definition; service objectives; access; requirements; admission procedure; assessment and discharge; home visits and reporting criteria. The admission process for short-term referrals is documented with information around placement of the resident on the site and staffing requirements. The primary care inpatient services policy and processes guidelines includes the requirements for care and service provision. Access and care criteria are documented along with reporting criteria.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54 residents with 51 beds occupied at the audit. This included 23 residents requiring rest home level care and 28 requiring hospital level care. Two residents were identified as being under the young people with disability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residents under short-term contracts, including two requiring carer support; one under transitional care funding for a maximum of two weeks in the service; one under primary options for acute care and one requiring palliative care. All residents under the short-term contracts met contractual specifications for entry to service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responsible for the overall management of the service and has been in the role for four months. The business and care manager has relieved for previous business and care managers in the past. The business and care manager has completed leadership training. The national clinical and quality manager confirmed via email that HealthCERT and the district health board has been informed of the appointment of the business and care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business and care manager, the clinical manager is delegated as second in charge with support from the regional operations manager and clinical and quality manager (organisational).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been in the role for 13 years with previous experience in aged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Whitianga Continuing Care uses the Oceania Care Company Limited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Standards, current and applicable legislation, and evidenced-based best practice guidelines. Policies are readily available to staff in hard copy. New and revised policies are presented to staff to read and staff sign to evidence that they have read and understood. The policy around pressure injuries has been updated, ratified and staff have been informed of the new policy. The registered nurses confirm that they have read and understood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pressure injuries, soft tissue/wounds, and implementation of an internal audit programme. The corrective action plans are documented and some evidence resolution of issues documented. There is documentation that includes collection, collation, and identification of trends and analysis of data. Internal audits around pressure injuries are completed six monthly with evidence of discussion around any issues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meeting minutes include: quality/management; general staff; registered and enrolled nurses; infection control; restraint two monthly meetings; health and safety and two monthly resident/family meetings. This ensures that there is communication with all staff around all aspects of quality improvement and risk management. Staff report that they are kept informed of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for family and residents in 2015 shows that they are satisfied with services provided and this was confirmed by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monthly with a facility health check completed by the clinical and quality manager at intervals during the year. Any issues are identified, a corrective action plan put in place and evidence of resolution of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aware of situations in which the service would need to report and notify statutory authorities including: police attending the facility; unexpected deaths; sentinel events; notification of a pressure injury; infectious disease outbreaks and changes in key clinical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and as part of the ongoing training programme on the incident and accident reporting process. Staff understand the adverse event reporting process and are able to describe the importance of recording near misses.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documented had a corresponding note in the progress notes to inform staff of the incident. Information gathered around incidents and accidents is analysed with evidence of improvements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(RNs) and the clinical manager (CM) hold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 appointment documentation including: signed contracts; job descriptions; reference checks and interviews. There is an appraisal process in place with staff files indicating that all have an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programme and health care assistants (HCAs) are paired with a senior HCA for shifts or until they demonstrate competency on a number of tasks including personal cares. HCAs confirm their role in supporting and buddying new staff. A new staff member interviewed confirmed that they had a comprehensive orientation programme. There is a low turnover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competencies are completed by clinical staff including: hoist; oxygen use; hand washing; wound management; medication management; moving and handling; restraint; nebuliser; blood sugar and insulin; and assisting residents to shower. Evidence of completion of competencies is kept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mandatory education and training programme with an annual training schedule documented. Staff attendances are documented for training provided. Education and training hours are at least eight hours a year for each staff member. Six of the RNs have completed interRAI training and one other is enrolled. Staff have completed training around pressure injuries in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59 staff including clinical staff, staff who facilitate the activities programme and household staff. There is always a registered nurse (RN) on each shift. The clinical manager (CM) is on call. In the absence of the CM, there is oversight provided by the clinical and quality manager (RN) and staff confirm that they can contact the clinical and quality manager.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 staffing is adequate to meet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under a short-term contract for care have the CM identified as the key carer. All are placed close to the nurses’ station to ensure that any nurse on duty provides oversight and support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change in staffing required as a result of adding another rest home bed to the total number of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 records. Files, relevant resident care, and support information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HCA, RN or other staff member, including their designation.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protected from unauthorised access by being locked away in an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containing sensitive resident information is not displayed in a way that could be viewed by other residents or members of the public. Individual residents’ files demonstrate service integration. This included medical care interventions. Medication charts are in a separate folder in the medication room. Staff state that they read the long term plans at the beginning of each shift and are informed of any changes through the handover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are provided for families and residents to the rest home and hospital, prior to admission. </w:t>
            </w:r>
          </w:p>
          <w:p w:rsidR="00EB7645" w:rsidRPr="00BE00C7" w:rsidP="00BE00C7">
            <w:pPr>
              <w:pStyle w:val="OutcomeDescription"/>
              <w:spacing w:before="120" w:after="120"/>
              <w:rPr>
                <w:rFonts w:cs="Arial"/>
                <w:b w:val="0"/>
                <w:lang w:eastAsia="en-NZ"/>
              </w:rPr>
            </w:pPr>
            <w:r w:rsidRPr="00BE00C7">
              <w:rPr>
                <w:rFonts w:cs="Arial"/>
                <w:b w:val="0"/>
                <w:lang w:eastAsia="en-NZ"/>
              </w:rPr>
              <w:t>The facility requires all residents to have needs assessment service coordinators (NASC) assessments prior to admission, to ensure they are able to meet the resident’s needs. Interviews confirm that the registered nurses (RNs) admit new residents into the facility. Evidence of completed admission records was sighted. The RNs receive hand-over from the transferring agency, for example the hospital and utilise this information in creating the appropriate initial care plan and after three weeks, the person centred care plan, for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There are documented policies and procedures to ensure exit, discharge, or transfer of residents are undertaken in a timely and safe manner. The CM reported that they include copies of the resident’s records including: GP visits; medication charts; current long term care plans; upcoming hospital appointments; and other medical alerts, when a resident is transferred to another health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in place and implemented, including processes for safe and appropriate prescribing, dispensing and administration of medicines. The medication areas are free from heat, moisture and light, with medicines stored in original dispensed packs, in a secure manner. </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list all medications the resident is taking, including name, dose, frequency and route to be given. All entries are dated and allergies recorded. All residents have photo identification. Discontinued medicines are identified. Three monthly GP reviews were completed within the three monthly timeframe and medicines charts were reviewed. Medication reconciliation policies and procedures are implemented. Medication fridge temperatures are monitored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kept inside a locked cupboard and the controlled drugs register is current and correct. Sharps bins were sighted. Unwanted or expired medications are collected by the pharmacy. Medication administration was observed during lunch time in the rest home and hospital. The staff members checked the identification of the residents, completed cross checks of the medicines against the script, administered the medicines, and then signed off after the resident took the medicines. </w:t>
            </w:r>
          </w:p>
          <w:p w:rsidR="00EB7645" w:rsidRPr="00BE00C7" w:rsidP="00BE00C7">
            <w:pPr>
              <w:pStyle w:val="OutcomeDescription"/>
              <w:spacing w:before="120" w:after="120"/>
              <w:rPr>
                <w:rFonts w:cs="Arial"/>
                <w:b w:val="0"/>
                <w:lang w:eastAsia="en-NZ"/>
              </w:rPr>
            </w:pPr>
            <w:r w:rsidRPr="00BE00C7">
              <w:rPr>
                <w:rFonts w:cs="Arial"/>
                <w:b w:val="0"/>
                <w:lang w:eastAsia="en-NZ"/>
              </w:rPr>
              <w:t>Staff are authorised to administer medications, competencies were reviewed by the lead auditor on the days of audit. This requires completion of medication competency testing, in theory and practice. All staff members responsible for medicines management complete annual competencies. There were two residents who self-administer medicines. Residents, who self-administer medicines complete competency checks, have RNs check and record that medicines were taken and the residents have secure storage areas for safe keeping of their medication. Medicines management training occurs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with seasonal menus reviewed by a dietitian. Residents’ dietary profiles are developed on admission, and reviewed six monthly, or when resident’s condition changes. There are current residents’ dietary profiles in residents’ files and copies in the kitchen. The kitchen staff are informed if resident's dietary requirements change. Interviews with kitchen staff confirm their awareness of the residents’ dietary requirements. Kitchen staff are trained in safe food handling processes. Food safety procedures are adhered to. </w:t>
            </w:r>
          </w:p>
          <w:p w:rsidR="00EB7645" w:rsidRPr="00BE00C7" w:rsidP="00BE00C7">
            <w:pPr>
              <w:pStyle w:val="OutcomeDescription"/>
              <w:spacing w:before="120" w:after="120"/>
              <w:rPr>
                <w:rFonts w:cs="Arial"/>
                <w:b w:val="0"/>
                <w:lang w:eastAsia="en-NZ"/>
              </w:rPr>
            </w:pPr>
            <w:r w:rsidRPr="00BE00C7">
              <w:rPr>
                <w:rFonts w:cs="Arial"/>
                <w:b w:val="0"/>
                <w:lang w:eastAsia="en-NZ"/>
              </w:rPr>
              <w:t>Residents who require special dining aids are provided for, to promote independence. The residents' files demonstrate monthly monitoring of individual resident's weight. The service implements short term care plans for residents who lose two kilograms or more within one month. Supplements are provided to residents with identified weight loss. In interviews, residents stated they are satisfied with the food service. Residents reported their individual preferences are met and adequate food and fluids are provided. The residents’ meeting minutes’ evidence feedback about the food service is positive. 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Whitianga Continuing Care has a documented process for the management of declining residents’ entry into the facility. Records of enquiry are maintained and in the event of decline, information is given regarding alternative services and the reason for declining services. The scope of services provided is identified in the admission agreement and communicated to prospective residents and their families; this was confirmed during interviews with residents and their families.</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(CM) assesses the suitability of residents and uses an enquiry form with appropriate questions regarding the specific needs and abilities of each resident. When residents are not suitable for placement at the service, the family and or the resident are referred to other services, depending on their level of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or the clinical manager (CM) complete a variety of risk assessment tools on admission. Staff completes interRAI assessments for new residents. Additional assessments were sighted in the residents’ files including; the medical assessment completed by the GP and recreational assessment completed by the activities coordinator (AC). Baseline recordings are recorded for weight management and vital signs with monthly monitoring. </w:t>
            </w:r>
          </w:p>
          <w:p w:rsidR="00EB7645" w:rsidRPr="00BE00C7" w:rsidP="00BE00C7">
            <w:pPr>
              <w:pStyle w:val="OutcomeDescription"/>
              <w:spacing w:before="120" w:after="120"/>
              <w:rPr>
                <w:rFonts w:cs="Arial"/>
                <w:b w:val="0"/>
                <w:lang w:eastAsia="en-NZ"/>
              </w:rPr>
            </w:pPr>
            <w:r w:rsidRPr="00BE00C7">
              <w:rPr>
                <w:rFonts w:cs="Arial"/>
                <w:b w:val="0"/>
                <w:lang w:eastAsia="en-NZ"/>
              </w:rPr>
              <w:t>The needs, support requirements, and preferences are collected and recorded for residents. Staff interviews confirmed that the families are involved in the assessment and review processes. The outcomes of the assessments are used in creating an initial care plan, the long term care plan, and a recreational plan, for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person centred care plans (PCCP) are resident focused and integrated. Interventions sighted were consistent with the assessed needs and best practice. Goals are realistic, achievable and clearly documented. The service records intervention for the achievement of the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 adequate and appropriate services meeting their assessed needs and desired outcomes. Interventions are documented for each goal in the PCCPs. Multidisciplinary meetings are conducted to discuss and review long term care plans. Residents’ files reflect residents and family involvement in the development of goals and review of care plans.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GP confirmed clinical interventions are effective and appropriate. Interventions from allied health providers are included in the long term care plans such as: the speech language therapist; the dietitian; needs assessment service coordinators (NASC) and the physiotherapist.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confirms that independence is encouraged and choices are offered to residents. The activities coordinator (AC) develops and implements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 physical; mental; spiritual and social aspects of life, to improve and maintain residents’ wellbeing. During the onsite audit, activities included: residents going for an outing; music; and one-on-one activities. Residents and family confirm they are satisfied with the activity programmes. </w:t>
            </w:r>
          </w:p>
          <w:p w:rsidR="00EB7645" w:rsidRPr="00BE00C7" w:rsidP="00BE00C7">
            <w:pPr>
              <w:pStyle w:val="OutcomeDescription"/>
              <w:spacing w:before="120" w:after="120"/>
              <w:rPr>
                <w:rFonts w:cs="Arial"/>
                <w:b w:val="0"/>
                <w:lang w:eastAsia="en-NZ"/>
              </w:rPr>
            </w:pPr>
            <w:r w:rsidRPr="00BE00C7">
              <w:rPr>
                <w:rFonts w:cs="Arial"/>
                <w:b w:val="0"/>
                <w:lang w:eastAsia="en-NZ"/>
              </w:rPr>
              <w:t>On admission, the AC completes a recreation assessment and an activities plan for each resident. Residents’ files reviewed during the onsite audit had six monthly activity reviews completed. Younger residents have additional activities to meet their social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showed long term care plans had six monthly reviews completed. Clinical reviews are documented in the multidisciplinary review (MDR) records, which include input from the GP, RNs, HCAs, the AC and other members of the allied health team. </w:t>
            </w:r>
          </w:p>
          <w:p w:rsidR="00EB7645" w:rsidRPr="00BE00C7" w:rsidP="00BE00C7">
            <w:pPr>
              <w:pStyle w:val="OutcomeDescription"/>
              <w:spacing w:before="120" w:after="120"/>
              <w:rPr>
                <w:rFonts w:cs="Arial"/>
                <w:b w:val="0"/>
                <w:lang w:eastAsia="en-NZ"/>
              </w:rPr>
            </w:pPr>
            <w:r w:rsidRPr="00BE00C7">
              <w:rPr>
                <w:rFonts w:cs="Arial"/>
                <w:b w:val="0"/>
                <w:lang w:eastAsia="en-NZ"/>
              </w:rPr>
              <w:t>Progress notes are completed at every shift by the HCAs and RNs. Progress notes reflect response to interventions and treatments. Residents are assisted in working towards goals. Short term care plans are developed for acute problems, for example: infections; wounds; falls; and other short term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stated that residents are supported in access or referral to other health and disability providers. The RNs manage referrals for residents to the GP; dietitian; physiotherapist; speech language therapist and mental health services. The GP confirmed involvement in the referral processes. The review of residents’ files included evidence of recent external referrals to the physiotherapist and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(refer to criterion 1.4.6.3).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recognised risks, for example: goggles/visors; gloves; aprons; footwear and masks. Clothing is provided and used by staff. 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 expiry date September 2016. There have been no building modifications since the last audit although there has been refurbishment of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maintenance schedule implemented. The following equipment is available: pressure relieving mattresses; shower chairs; hoists; chair scales and sensor alarm mats. There is an annual test and tag programme and this is up to date with checking and calibrating of clinical equipment annually.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observation of the facility confirm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and there are areas that provide privacy when required. There are courtyards and grass areas with shade, seating and outdoor tables.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room was a bathroom and this has been converted into a bedroom for residents requiring rest home level of care with an en-suite attached (toilet and basin). The audit confirmed appropriateness of the room for this purpose.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toilets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 that there are sufficient toilets and showers with some rooms in the rest home/hospital area having their own en-suite.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Auditors observed residents being supported to access communal toilets and showers in ways that are respectful and dignified with the ability to have privacy.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Equipment was sighted in rooms requiring this with sufficient space for both the equipment such as hoists, at least two staff and the resident, ability to include emergency equipment in the room, if required. </w:t>
            </w:r>
          </w:p>
          <w:p w:rsidR="00EB7645" w:rsidRPr="00BE00C7" w:rsidP="00BE00C7">
            <w:pPr>
              <w:pStyle w:val="OutcomeDescription"/>
              <w:spacing w:before="120" w:after="120"/>
              <w:rPr>
                <w:rFonts w:cs="Arial"/>
                <w:b w:val="0"/>
                <w:lang w:eastAsia="en-NZ"/>
              </w:rPr>
            </w:pPr>
            <w:r w:rsidRPr="00BE00C7">
              <w:rPr>
                <w:rFonts w:cs="Arial"/>
                <w:b w:val="0"/>
                <w:lang w:eastAsia="en-NZ"/>
              </w:rPr>
              <w:t>Rooms are personalised with furnishings, photos and other personal adornments and the service encourages residents to make the suite their 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close to the nurses’ station are used for residents requiring short-term care when these are available. Residents requiring short-term care on the days of audit were placed in rooms close to the nurses’ station.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lounge/dining areas including areas that can be used for activities. All areas are easily accessed by residents and staff. Residents are able to access areas for privacy, if required. Furniture is appropriate to the setting and arranged in a manner which enabled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areas have ample space for residents. Residents can choose to have their meals in their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laundry is completed on site with covered laundry trolleys and bags in use for transport. There are designated clean and dirty areas in the laundry with separate doors to take clean and dirty laundry in and out. Laundry staff are required to return linen to the rooms. Residents and family members state that the laundry is well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seven days a week. The cleaners have a cupboard to put chemicals in and the cleaners are aware that the trolley must be with them at all times. Some rooms had chemicals in them, for example, sluice rooms and these had a snib lock in place. Pin code locks were put on the doors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Most chemicals are in appropriately labelled containers with some bottles not labelled during the audit. Products are used with training around use of products provided throughout the year. Cleaning and laundry processes are monitored through the internal audit process with no issues identified in audits. The monitoring process has not identified any issues with storage of cleaning equipment and chemicals and an improvement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was approved by the New Zealand Fire Service in 1999. An evacuation policy on emergency and security situations is in place with this localised to the region. A fire drill is provided to staff six monthly with records retained. The orientation programme includes fire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with a first aid certificate on duty with all registered nurses and most health care assistants having completed first aid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was sighted on audit days and all equipment had been checked within required timeframes both by the maintenance staff and by an external contractor.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a gas BBQ. The service has a small generator and access to another generator. </w:t>
            </w:r>
          </w:p>
          <w:p w:rsidR="00EB7645" w:rsidRPr="00BE00C7" w:rsidP="00BE00C7">
            <w:pPr>
              <w:pStyle w:val="OutcomeDescription"/>
              <w:spacing w:before="120" w:after="120"/>
              <w:rPr>
                <w:rFonts w:cs="Arial"/>
                <w:b w:val="0"/>
                <w:lang w:eastAsia="en-NZ"/>
              </w:rPr>
            </w:pPr>
            <w:r w:rsidRPr="00BE00C7">
              <w:rPr>
                <w:rFonts w:cs="Arial"/>
                <w:b w:val="0"/>
                <w:lang w:eastAsia="en-NZ"/>
              </w:rPr>
              <w:t>An electronic call bell system utilises a pager system. There are call bells in all residents’ rooms, residents’ toilets, and communal areas including the hallways, lounges and dining rooms. Call bell audits are routinely completed and residents and family state that there are prompt responses to call bells. The maintenance staff completes a monthly check of all call bells to ensure that these are operational.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are locked in the evenings. Staff complete a check in the evening that confirms that security measures have been put in place. Access for visitors and residents returning after doors have been locked has improved since the change in the business and care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designated as a smoke free service, however there is an area available for residents, if they smoke.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confirm that rooms are maintained at an appropriate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clearly defined and there are clear lines of accountability for infection control matters in the facility. The infection control committee has representatives from each area of the service management team. This group meets monthly. There is an infection control programme that was last reviewed in August 2015. </w:t>
            </w:r>
          </w:p>
          <w:p w:rsidR="00EB7645" w:rsidRPr="00BE00C7" w:rsidP="00BE00C7">
            <w:pPr>
              <w:pStyle w:val="OutcomeDescription"/>
              <w:spacing w:before="120" w:after="120"/>
              <w:rPr>
                <w:rFonts w:cs="Arial"/>
                <w:b w:val="0"/>
                <w:lang w:eastAsia="en-NZ"/>
              </w:rPr>
            </w:pPr>
            <w:r w:rsidRPr="00BE00C7">
              <w:rPr>
                <w:rFonts w:cs="Arial"/>
                <w:b w:val="0"/>
                <w:lang w:eastAsia="en-NZ"/>
              </w:rPr>
              <w:t>When a resident presents with an infection, staff send specimens to the laboratory for sensitivity testing. The GP prescribes antibiotics as per sensitivity, confirmed during interview. The RNs create short term care plans and review the effectiveness of the prescribed antibiotics when the treatment is completed. Infections are discussed during staff meetings, sighted in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 Hand washing signs were sighted around the facility to remind staff and residents of the importance of proper hand washing. The facility maintains regular in-service training for infection control, including standard precautions, personal protective equipment, cleaning, infectious diseases and hand washing. Sighted training records are aligned with the training planner.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accepted good practice and relevant legislative requirements and are readily available and implemented at the facility. These policies and procedures are practical, safe, and appropriate/suitable for the type of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residents. The infection control education is provided by the clinical manager (CM) who is the infection control coordinator (ICC) or external resource speakers. Residents interviewed were aware of the importance of hand washing. Staff members confirmed receiving infection control training and could explain the importance of hand washing in the prevention and control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is responsible for the surveillance programme for this service. Clear definitions of surveillance and types of infections (for example; facility-acquired infections) are documented to guide staff. Information is collated on a monthly basis.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CM/ICC. Surveillance for infection is carried out in accordance with agreed objectives, priorities, and methods that have been specified in the infection control programme. Infection control processes are in place and documented. </w:t>
              <w:br/>
              <w:br/>
              <w:t>The organisation has an internal benchmarking system. Infections are investigated and appropriate plans of action are sighted in meeting minutes. The surveillance results are discussed in the staff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interviews, observations, and review of documentation, demonstrated safe use of restraint and enablers. The service has a policy of actively minimising restraint. The service has a documented system in place for restraint and enabler use, including a restraint register. There was one restraint and two enablers being used in the facility on audit days. The restraint coordinator is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maintains a process for determining approval of all types of restraints used. The restraint coordinator completes a restraint assessment, which is then discussed with the GP prior to commencement of any restraint. The restraint committee is defined in the restraint minimisation and safety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duration of each restraint is documented in the restraint plans of residents. Health care assistants are responsible for monitoring and completing restraint forms, when the restraints are in use. Evidence of on-going education regarding restraint and challenging behaviour is evident. Staff members are made aware of the residents using restraints during monthly staff meetings. This was confirmed during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include restraint related risks. The service records underlying risks that contribute to the resident requiring restraint. This focus on culturally safe practices; identification of desired outcomes; and possible alternatives to restraint. Restraint risks and monitoring timeframes are identified in the restraint assessment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Before resorting to the use of restraint, the restraint coordinator utilises other means to prevent the resident from incurring injury, for example, the use of sensor mats. Restraint consents are signed by the GP, family and the restraint coordinator. Restraints are incorporated in the long term care plans and reviewed three monthly. The restraint register is up to date. The GP confirmed that the facility uses restraints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evaluates all episodes of restraint. Reviews include the effectiveness of the restraint in use, restraint-related injuries and whether the restraint is still required. The family are involved in the evaluation of the restraints’ effectiveness and continuity. Documentation was sighted in the progress notes of the residents regarding restraint related matters. Restraint minimisation and safe practices are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demonstrates the monitoring and quality review of their use of restraints. The audit schedule was sighted and included restraint minimisation reviews. The content of the internal audits includes the effectiveness of restraints, staff compliance, safety and cultural considerations. Staff knowledge and good practice was also included in the quality reviews.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18"/>
        <w:gridCol w:w="1280"/>
        <w:gridCol w:w="5180"/>
        <w:gridCol w:w="1934"/>
        <w:gridCol w:w="24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indicate that corrective action plans are documented and issues resolved. Some other meeting minutes indicate that issues are signed off as resolved.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Issues raised through meetings, as documented in minutes, do not evidence that issues are resolved.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issues are documented as being resolved particularly when these are raised in meetings such as resident meetings.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kept in a variety of rooms, including sluice rooms and cleaning cupboards. Some rooms were able to be locked and others had a snib lock at the top of the door to close the door. Pin code locks were put on all doors with chemicals in them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Most chemicals on the day of audit were in labelled containers, however some bottles had liquid in them and these were not labelled. The bottles were thrown away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i)Not all chemicals were kept in safe storage.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Not all bottles were labelled in sluice and cleaning areas.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w:t>
              <w:tab/>
              <w:t xml:space="preserve">Monitor cleaning storage areas to ensure that chemicals are kept in safe storage. </w:t>
            </w:r>
          </w:p>
          <w:p w:rsidR="00EB7645" w:rsidRPr="00BE00C7" w:rsidP="00BE00C7">
            <w:pPr>
              <w:pStyle w:val="OutcomeDescription"/>
              <w:spacing w:before="120" w:after="120"/>
              <w:rPr>
                <w:rFonts w:cs="Arial"/>
                <w:b w:val="0"/>
                <w:lang w:eastAsia="en-NZ"/>
              </w:rPr>
            </w:pPr>
            <w:r w:rsidRPr="00BE00C7">
              <w:rPr>
                <w:rFonts w:cs="Arial"/>
                <w:b w:val="0"/>
                <w:lang w:eastAsia="en-NZ"/>
              </w:rPr>
              <w:t>ii)</w:t>
              <w:tab/>
              <w:t>Monitor cleaning products to ensure that bottles with chemicals in them are labelled in sluice and cleaning areas.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Whitianga Continuing Care</w:t>
    </w:r>
    <w:bookmarkEnd w:id="58"/>
    <w:r>
      <w:rPr>
        <w:rFonts w:cs="Arial"/>
        <w:sz w:val="16"/>
        <w:szCs w:val="20"/>
      </w:rPr>
      <w:tab/>
      <w:t xml:space="preserve">Date of Audit: </w:t>
    </w:r>
    <w:bookmarkStart w:id="59" w:name="AuditStartDate1"/>
    <w:r>
      <w:rPr>
        <w:rFonts w:cs="Arial"/>
        <w:sz w:val="16"/>
        <w:szCs w:val="20"/>
      </w:rPr>
      <w:t>23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