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Eden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January 2016</w:t>
      </w:r>
      <w:bookmarkEnd w:id="7"/>
      <w:r w:rsidRPr="009418D4">
        <w:rPr>
          <w:rFonts w:cs="Arial"/>
        </w:rPr>
        <w:tab/>
        <w:t xml:space="preserve">End date: </w:t>
      </w:r>
      <w:bookmarkStart w:id="8" w:name="AuditEndDate"/>
      <w:r w:rsidR="00A4268A">
        <w:rPr>
          <w:rFonts w:cs="Arial"/>
        </w:rPr>
        <w:t>21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 Lifestyle Care and Village (Oceania) can provide care for up to 70 residents requiring care at either rest home or hospital level with 68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regional and executive management team. Service delivery is monitored.</w:t>
      </w:r>
    </w:p>
    <w:p w:rsidRPr="00A4268A">
      <w:pPr>
        <w:spacing w:before="240" w:line="276" w:lineRule="auto"/>
        <w:rPr>
          <w:rFonts w:eastAsia="Calibri"/>
        </w:rPr>
      </w:pPr>
      <w:r w:rsidRPr="00A4268A">
        <w:rPr>
          <w:rFonts w:eastAsia="Calibri"/>
        </w:rPr>
        <w:t>This surveillance audit identified improvements required to the following: the quality and risk management programme, training, wound management, assessments and administration of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Eden Lifestyle Care and Village has documentation of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at times of resolution of issues when these are identified.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r w:rsidRPr="00A4268A">
        <w:rPr>
          <w:rFonts w:eastAsia="Calibri"/>
        </w:rPr>
        <w:t xml:space="preserve">Improvements are required to analysis of quality data, documentation of resolution of issues and to training for staff around pressure injuries.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The residents and family interviewed confirmed their input into care planning and access to a typical range of life experiences and choices. </w:t>
      </w:r>
    </w:p>
    <w:p w:rsidRPr="00A4268A" w:rsidP="00621629">
      <w:pPr>
        <w:spacing w:before="240" w:line="276" w:lineRule="auto"/>
        <w:rPr>
          <w:rFonts w:eastAsia="Calibri"/>
        </w:rPr>
      </w:pPr>
      <w:r w:rsidRPr="00A4268A">
        <w:rPr>
          <w:rFonts w:eastAsia="Calibri"/>
        </w:rPr>
        <w:t>A sampling of residents' clinical files validated the service delivery to the residents. Assessments and care plans are completed within the required timeframes, with the exception of the interRAI assessments. Long term care plans are evaluated six monthly. Where progress is different from expected, this is recorded on a short term care plan. Short term care plans are not consistently being evaluated. Some aspects of the wound management system are identified as areas requiring improvement.</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 residents self-administering medicines do so according to policy. There are areas identified as requiring improvement around discontinued medication, photo identification and medication fridge temperatures.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Residents have a role in food choices.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were six residents using restraint and no residents requiring enablers on audit day.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descriptions of the process in the infection control programme. The type of surveillance undertaken is appropriate to the size and complexity of this service. Standardised definitions are used for the identification and classification of infection events, indicators or outcomes.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3"/>
        <w:gridCol w:w="1280"/>
        <w:gridCol w:w="9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Two complaints were tracked and the review indicates that all timeframes taken to inform the family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forwarded by the Health and Disability Commission since the previous audit lodged in 2015. The Health and Disability Commissioner’s office has responded with a request for further information (HDC) and the complaint continues to be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informed, as confirmed in a review of accident/incident forms and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are no residents requiring interpreting services at the time of the audit. All residents interviewed confirm that staff are approachable and communicate in a way that meets their needs.  The business and care manager has an open door policy that allows residents, family and staff to communicate any issues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includes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Lifestyle Care and Village is part of the Oceania Care Company Limited with the executive management team including the chief executive officer and general manager, regional operational manager and clinical and quality manager providing support to the service on the day of the audit. Communication between the clinical and quality manager, the regional operations manager and the business and care manager takes place on a regular basis (at least once a month) with more support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70 residents requiring rest home or hospital level of care (all dual-purpose beds). During the audit, the occupancy was 68; (33 residents requiring rest home level care and 35 requiring hospital level care). All residents at the time of the audit were over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with the service for three months having had management experience at another Oceania facility for over eight years. The business and care manager is a registered nurse and is a member of the ADHB steering committee for falls and pressure injuries. The clinical manager provides clinical oversight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Lifestyle Care uses the Oceania quality and risk management framework that is documented to guide practice.  The business plan is documented and reporting occurs through the business status reports. This includes financial monitoring, review of staff costs, progress against the healthy workplace action plan, review of complaints, incidents, relationships and market presence action plan and review of physical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The policy around pressure injuries has been reviewed and is in draft. This has been sent to business and care managers to make final comment.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can be analysed through meetings and benchmarking and corrective action plans are documented. Improvements are required to analysis and discussion of data and documentation of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management, health and safety; staff/quality, registered nurse, activities and care suite resident and family meetings. There are weekly maintenance meetings and health care assistant meetings two monthly or as required. All staff interviewed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includes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satisfaction survey for residents and family. The end of year survey completed in 2015 indicates that residents and family is currently being collated however the previous satisfaction survey indicated that residents were satisfied with the service overall.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critical incidents and infectious disease outbreaks.  Times when authorities have had to be notified are documented and retained on the relevant file.  This includes notification of the acting clinical manager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and an annual appraisal process is in place with all staff files reviewed having a current performance appraisal on file. A spreadsheet is kept of the dates of performance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Three new staff interviewed state that they have had an orientation that included reading of policies and procedures, introduction to residents, staff and to the Oceania processes and buddying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Registered nurses have an hour of training at each meeting that includes relevant topics such as pain management, complaints management, nutrition, assessments, medication administration and falls. An improvement is required to training around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 trained to complete InterRAI assessments and another recently employed (due to start on the 25 January 2016) who is also trained. Two registered nurses are enrolled in the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register and training attendance sheets show staff completion of annual medication and other competencies such as hoist; oxygen use; hand washing; wound management; moving and handling; restraint; nebuliser; blood sugar and insulin.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hospital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during the weekdays. The same staffing model is applied in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62 staff at the time of the audit including the business and care manager, the clinical manager (acting). Household staff are appointed and include cleaners who provide seven day a week cleaning, kitchen staff including two chefs and a baker along with a kitchen manager. There are two activities staff providing activities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on two levels and staff are allocated to work in each level. There is an equal mix of rest home and hospital level of care on both levels and staff are given an equal mix of rest home and hospital residents to care for. Staff also work in pairs and as a team to ensure that hospital residents are given appropriate care and support relative to their needs. There are always two staff for example, when using a hoist as described by staff interviewed and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a retirement village however staff are not responsible to providing care to people in the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areas evidence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are conducted, however temperatures are not within recommended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 was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legibility, as required (PRN) medication is identified for individual residents and correctly prescribed and three monthly medicine reviews are conducted. Residents' photo identification is not always dated and discontinued medicines are not consistently dated and/ or signed by the GPs. The residents' medicine charts record all medications a resident is taking (including name, dose, frequency and route to be given). The residents self-administering medicines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chef confirmed they are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 confirmed at interview with the chef.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however the wound care plans do not consistently meet best practice guidelines (refer to criterion 1.3.3.3).</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 interviews, residents and family confirmed that current care and treatments meet their and their relatives’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coordinator (AC) confirmed the activities programme meets the needs of the service group and the service has appropriate equipment. There is one activities programme for the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activities programme includes input from external agencies and supports ordinary unplanned/spontaneous activities including festive occasions and celebrations. There are current, individualised activities care plans in residents’ files and these are reviewed at the same time the long term care plans are reviewed. The residents’ activities attendance records are maintained. The residents’ meetings are conducted two to three monthly and include residents’ involvement and consultation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The residents' long term care plans are up-to-date and reviewed six monthly. There is evidence of resident, family, health care assistants, activities staff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 some of the residents’ files, used when required. The short term care plans include short term goals and detailed intervention, however they are not being consistently evaluated when required and wound care plans evaluations are not being completed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August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this is sufficient.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Quality indicators are reported on a monthly basis at staff, quality, and infection control and health and safety meetings.  Interviews confirmed information relating to infections is made available for clinical staff during hand over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responsible for the surveillance programme. Monthly surveillance analysis is completed and reported at staff meetings (refer to criterion1.2.3.6).</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 (refer to criterion 1.3.8.2).</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ICC confirmed no outbreak had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There were no residents at the facility using enablers and six residents using restraint. Review of residents’ files using restraint evidenced the required processes are followed and recorded in the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(RMSP), enabler usage and prevention and/or de-escalation education and training was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3"/>
        <w:gridCol w:w="1280"/>
        <w:gridCol w:w="5895"/>
        <w:gridCol w:w="2045"/>
        <w:gridCol w:w="1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meeting schedule and data is tabled at the meetings. There is evidence in meeting minutes of discussion around some aspects of the data with some evidence of improvements made because of the discussions. This includes discussion of pressure injuries, incidents and wounds particularly at registered nurse and quality/staff meetings. The clinical manager and staff interviewed are able to describe how data would lead to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times, data is tabled and there is little evidence of analysis and discussion around the data that would lead to service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data is analysed and discussed with evidence of quality improvement as a result.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record resolution of issues as these are identified. There is sign off of resolution of issues on most occasions and this includes documentation in internal audits, which is documented well.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resolution of issues is not always completed and this includes documentation in health and safety meeting minutes for example.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evidence of resolution of issues is recorded as this occurs.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Seventeen of the thirty-seven care staff have completed training around pressure injuries in 2015 and an improvement is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Insufficient staff have completed training around management and monitoring of pressure injuries in 2015 and registered nurses were not familiar with definitions and descriptions of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receive training around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temperatures of the medication fridges evidence they are not within the required temperature range. Review of maintenance records did not evidence this had been reported and no follow-up corrective action could be identified. Staff interviewed were aware of the required protocol.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files evidenced the discontinued medications were not consistently being dated and /or signed by the GP.  Four of the nineteen medication charts reviewed evidenced this. </w:t>
            </w:r>
          </w:p>
          <w:p w:rsidR="00EB7645" w:rsidRPr="00BE00C7" w:rsidP="00BE00C7">
            <w:pPr>
              <w:pStyle w:val="OutcomeDescription"/>
              <w:spacing w:before="120" w:after="120"/>
              <w:rPr>
                <w:rFonts w:cs="Arial"/>
                <w:b w:val="0"/>
                <w:lang w:eastAsia="en-NZ"/>
              </w:rPr>
            </w:pPr>
            <w:r w:rsidRPr="00BE00C7">
              <w:rPr>
                <w:rFonts w:cs="Arial"/>
                <w:b w:val="0"/>
                <w:lang w:eastAsia="en-NZ"/>
              </w:rPr>
              <w:t>One of the nineteen medication files does not have a resident’s photo in place. The remaining eighteen medication charts evidenced six photos were not dated and did not indicate residents’ true likeness.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medication files evidenced the discontinued medicines are not consistently signed and /or dated by the GP.</w:t>
            </w:r>
          </w:p>
          <w:p w:rsidR="00EB7645" w:rsidRPr="00BE00C7" w:rsidP="00BE00C7">
            <w:pPr>
              <w:pStyle w:val="OutcomeDescription"/>
              <w:spacing w:before="120" w:after="120"/>
              <w:rPr>
                <w:rFonts w:cs="Arial"/>
                <w:b w:val="0"/>
                <w:lang w:eastAsia="en-NZ"/>
              </w:rPr>
            </w:pPr>
            <w:r w:rsidRPr="00BE00C7">
              <w:rPr>
                <w:rFonts w:cs="Arial"/>
                <w:b w:val="0"/>
                <w:lang w:eastAsia="en-NZ"/>
              </w:rPr>
              <w:t>ii) Residents photos do not consistently record the date the photo was taken and true likeness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iii) Medication fridge temperatures are outside of the recommended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the discontinued medications are signed and dated by the GP</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residents’ photos on the medication charts are dated and confirm true likeness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iii) Provide evidence the medication fridge temperatures are within recommended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four wound care plans reviewed, there was one wound care plan that had the frequency of dressing changes recorded. Interview with the RNs confirmed wounds are usually attended to in two to three day intervals, however this is not consistently recorded. The wound plans for the resident with pressure injuries do not adhere to best practice guidelines. Interview with the clinical manager confirmed the new wound regime was commenced without any input from wound care nurse specialist or research indicating this is best practice. GP has been notified of the wounds.</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files evidenced the interRAI assessments are not consistently being completed within the required timeframes. RN’s interviewed stated they are trained in interRAI.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Wound management plans do not consistently record the frequency of dressings required.</w:t>
            </w:r>
          </w:p>
          <w:p w:rsidR="00EB7645" w:rsidRPr="00BE00C7" w:rsidP="00BE00C7">
            <w:pPr>
              <w:pStyle w:val="OutcomeDescription"/>
              <w:spacing w:before="120" w:after="120"/>
              <w:rPr>
                <w:rFonts w:cs="Arial"/>
                <w:b w:val="0"/>
                <w:lang w:eastAsia="en-NZ"/>
              </w:rPr>
            </w:pPr>
            <w:r w:rsidRPr="00BE00C7">
              <w:rPr>
                <w:rFonts w:cs="Arial"/>
                <w:b w:val="0"/>
                <w:lang w:eastAsia="en-NZ"/>
              </w:rPr>
              <w:t>ii)InterRAI assessments are not consistently completed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iii) Wound management plans do not consistently evidence best practice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the wound management plan record the required frequency of dressing changes.</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the interRAI assessments are completed within 21 days after admission and every six months thereafter or when required due to a significant change in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iii) Provide evidence wound management adheres to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six monthly. Six short term care plans were reviewed of which five were found not to have been evaluated.  Five wound care plans were reviewed and all five wound care plans did not evidence completed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and wound care plans do not record evidence of evaluations being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short term care plans and wound care plans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Eden Lifestyle Care &amp; Village</w:t>
    </w:r>
    <w:bookmarkEnd w:id="58"/>
    <w:r>
      <w:rPr>
        <w:rFonts w:cs="Arial"/>
        <w:sz w:val="16"/>
        <w:szCs w:val="20"/>
      </w:rPr>
      <w:tab/>
      <w:t xml:space="preserve">Date of Audit: </w:t>
    </w:r>
    <w:bookmarkStart w:id="59" w:name="AuditStartDate1"/>
    <w:r>
      <w:rPr>
        <w:rFonts w:cs="Arial"/>
        <w:sz w:val="16"/>
        <w:szCs w:val="20"/>
      </w:rPr>
      <w:t>21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